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Monday, December 9, 2019 7:24:00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104937893</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1 Bender's Immigration Litigation Forms Form 13</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habeas</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Treatises, Practice Guides &amp; Jurisprudence</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rFonts w:ascii="arial" w:eastAsia="arial" w:hAnsi="arial" w:cs="arial"/>
          <w:sz w:val="20"/>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1 Bender's Immigration Litigation Forms Form 13</w:t>
        </w:r>
      </w:hyperlink>
    </w:p>
    <w:p>
      <w:pPr>
        <w:spacing w:line="26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Bender's Immigration Litigation Forms</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1  Bender's Immigration Litigation Forms</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 xml:space="preserve">Form 13 Memorandum in Support of </w:t>
      </w:r>
      <w:r>
        <w:rPr>
          <w:rFonts w:ascii="arial" w:eastAsia="arial" w:hAnsi="arial" w:cs="arial"/>
          <w:b/>
          <w:i/>
          <w:color w:val="000000"/>
          <w:sz w:val="28"/>
          <w:u w:val="single"/>
          <w:lang w:val="en-US" w:eastAsia="en-US" w:bidi="ar-SA"/>
        </w:rPr>
        <w:t>Habeas</w:t>
      </w:r>
      <w:r>
        <w:rPr>
          <w:rFonts w:ascii="arial" w:eastAsia="arial" w:hAnsi="arial" w:cs="arial"/>
          <w:b/>
          <w:color w:val="000000"/>
          <w:sz w:val="28"/>
          <w:lang w:val="en-US" w:eastAsia="en-US" w:bidi="ar-SA"/>
        </w:rPr>
        <w:t xml:space="preserve"> Corpus Petition</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rPr>
          <w:rFonts w:ascii="arial" w:eastAsia="arial" w:hAnsi="arial" w:cs="arial"/>
          <w:sz w:val="20"/>
          <w:lang w:val="en-US" w:eastAsia="en-US" w:bidi="ar-SA"/>
        </w:rPr>
      </w:pPr>
      <w:bookmarkStart w:id="1" w:name="Bookmark_TAAB"/>
      <w:bookmarkEnd w:id="1"/>
      <w:bookmarkStart w:id="2" w:name="Bookmark__1"/>
      <w:bookmarkEnd w:id="2"/>
    </w:p>
    <w:p>
      <w:pPr>
        <w:numPr>
          <w:numId w:val="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Practice Pointers for Form 13, Memorandum in Support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Petition</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Statutes and Regulations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Civil Procedure</w:t>
      </w:r>
    </w:p>
    <w:p>
      <w:pPr>
        <w:numPr>
          <w:numId w:val="2"/>
        </w:numPr>
        <w:spacing w:before="120" w:line="260" w:lineRule="atLeast"/>
        <w:jc w:val="both"/>
        <w:rPr>
          <w:rFonts w:ascii="arial" w:eastAsia="arial" w:hAnsi="arial" w:cs="arial"/>
          <w:sz w:val="20"/>
          <w:lang w:val="en-US" w:eastAsia="en-US" w:bidi="ar-SA"/>
        </w:rPr>
      </w:pPr>
      <w:hyperlink r:id="rId20" w:history="1">
        <w:r>
          <w:rPr>
            <w:rFonts w:ascii="arial" w:eastAsia="arial" w:hAnsi="arial" w:cs="arial"/>
            <w:b/>
            <w:i/>
            <w:color w:val="0077CC"/>
            <w:sz w:val="20"/>
            <w:u w:val="single"/>
            <w:shd w:val="clear" w:color="auto" w:fill="FFFFFF"/>
            <w:lang w:val="en-US" w:eastAsia="en-US" w:bidi="ar-SA"/>
          </w:rPr>
          <w:t>28 U.S.C. 2241</w:t>
        </w:r>
      </w:hyperlink>
      <w:r>
        <w:rPr>
          <w:rFonts w:ascii="arial" w:eastAsia="arial" w:hAnsi="arial" w:cs="arial"/>
          <w:b/>
          <w:color w:val="000000"/>
          <w:sz w:val="20"/>
          <w:lang w:val="en-US" w:eastAsia="en-US" w:bidi="ar-SA"/>
        </w:rPr>
        <w:t>(</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jurisdiction)</w:t>
      </w:r>
    </w:p>
    <w:p>
      <w:pPr>
        <w:numPr>
          <w:numId w:val="3"/>
        </w:numPr>
        <w:spacing w:before="120" w:line="260" w:lineRule="atLeast"/>
        <w:jc w:val="both"/>
        <w:rPr>
          <w:rFonts w:ascii="arial" w:eastAsia="arial" w:hAnsi="arial" w:cs="arial"/>
          <w:sz w:val="20"/>
          <w:lang w:val="en-US" w:eastAsia="en-US" w:bidi="ar-SA"/>
        </w:rPr>
      </w:pPr>
      <w:hyperlink r:id="rId21" w:history="1">
        <w:r>
          <w:rPr>
            <w:rFonts w:ascii="arial" w:eastAsia="arial" w:hAnsi="arial" w:cs="arial"/>
            <w:b/>
            <w:i/>
            <w:color w:val="0077CC"/>
            <w:sz w:val="20"/>
            <w:u w:val="single"/>
            <w:shd w:val="clear" w:color="auto" w:fill="FFFFFF"/>
            <w:lang w:val="en-US" w:eastAsia="en-US" w:bidi="ar-SA"/>
          </w:rPr>
          <w:t>28 U.S.C. 1331</w:t>
        </w:r>
      </w:hyperlink>
      <w:r>
        <w:rPr>
          <w:rFonts w:ascii="arial" w:eastAsia="arial" w:hAnsi="arial" w:cs="arial"/>
          <w:b/>
          <w:color w:val="000000"/>
          <w:sz w:val="20"/>
          <w:lang w:val="en-US" w:eastAsia="en-US" w:bidi="ar-SA"/>
        </w:rPr>
        <w:t>(federal question jurisdiction)</w:t>
      </w:r>
    </w:p>
    <w:p>
      <w:pPr>
        <w:numPr>
          <w:numId w:val="4"/>
        </w:numPr>
        <w:spacing w:before="120" w:line="260" w:lineRule="atLeast"/>
        <w:jc w:val="both"/>
        <w:rPr>
          <w:rFonts w:ascii="arial" w:eastAsia="arial" w:hAnsi="arial" w:cs="arial"/>
          <w:sz w:val="20"/>
          <w:lang w:val="en-US" w:eastAsia="en-US" w:bidi="ar-SA"/>
        </w:rPr>
      </w:pPr>
      <w:hyperlink r:id="rId22" w:history="1">
        <w:r>
          <w:rPr>
            <w:rFonts w:ascii="arial" w:eastAsia="arial" w:hAnsi="arial" w:cs="arial"/>
            <w:b/>
            <w:i/>
            <w:color w:val="0077CC"/>
            <w:sz w:val="20"/>
            <w:u w:val="single"/>
            <w:shd w:val="clear" w:color="auto" w:fill="FFFFFF"/>
            <w:lang w:val="en-US" w:eastAsia="en-US" w:bidi="ar-SA"/>
          </w:rPr>
          <w:t>28 U.S.C. 1361</w:t>
        </w:r>
      </w:hyperlink>
      <w:r>
        <w:rPr>
          <w:rFonts w:ascii="arial" w:eastAsia="arial" w:hAnsi="arial" w:cs="arial"/>
          <w:b/>
          <w:color w:val="000000"/>
          <w:sz w:val="20"/>
          <w:lang w:val="en-US" w:eastAsia="en-US" w:bidi="ar-SA"/>
        </w:rPr>
        <w:t>(jurisdiction over actions for mandamus)</w:t>
      </w:r>
    </w:p>
    <w:p>
      <w:pPr>
        <w:numPr>
          <w:numId w:val="5"/>
        </w:numPr>
        <w:spacing w:before="120" w:line="260" w:lineRule="atLeast"/>
        <w:jc w:val="both"/>
        <w:rPr>
          <w:rFonts w:ascii="arial" w:eastAsia="arial" w:hAnsi="arial" w:cs="arial"/>
          <w:sz w:val="20"/>
          <w:lang w:val="en-US" w:eastAsia="en-US" w:bidi="ar-SA"/>
        </w:rPr>
      </w:pPr>
      <w:hyperlink r:id="rId23" w:history="1">
        <w:r>
          <w:rPr>
            <w:rFonts w:ascii="arial" w:eastAsia="arial" w:hAnsi="arial" w:cs="arial"/>
            <w:b/>
            <w:i/>
            <w:color w:val="0077CC"/>
            <w:sz w:val="20"/>
            <w:u w:val="single"/>
            <w:shd w:val="clear" w:color="auto" w:fill="FFFFFF"/>
            <w:lang w:val="en-US" w:eastAsia="en-US" w:bidi="ar-SA"/>
          </w:rPr>
          <w:t>28 U.S.C. 1391</w:t>
        </w:r>
      </w:hyperlink>
      <w:r>
        <w:rPr>
          <w:rFonts w:ascii="arial" w:eastAsia="arial" w:hAnsi="arial" w:cs="arial"/>
          <w:b/>
          <w:color w:val="000000"/>
          <w:sz w:val="20"/>
          <w:lang w:val="en-US" w:eastAsia="en-US" w:bidi="ar-SA"/>
        </w:rPr>
        <w:t>(venue)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Homeland Security</w:t>
      </w:r>
    </w:p>
    <w:p>
      <w:pPr>
        <w:numPr>
          <w:numId w:val="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Homeland Security Act of 2002, Pub. L. No. 107-296, 471, 116 Stat. 2135, 2205 (codified at </w:t>
      </w:r>
      <w:hyperlink r:id="rId24" w:history="1">
        <w:r>
          <w:rPr>
            <w:rFonts w:ascii="arial" w:eastAsia="arial" w:hAnsi="arial" w:cs="arial"/>
            <w:b/>
            <w:i/>
            <w:color w:val="0077CC"/>
            <w:sz w:val="20"/>
            <w:u w:val="single"/>
            <w:shd w:val="clear" w:color="auto" w:fill="FFFFFF"/>
            <w:lang w:val="en-US" w:eastAsia="en-US" w:bidi="ar-SA"/>
          </w:rPr>
          <w:t>6 U.S.C. 291 (2002)</w:t>
        </w:r>
      </w:hyperlink>
      <w:r>
        <w:rPr>
          <w:rFonts w:ascii="arial" w:eastAsia="arial" w:hAnsi="arial" w:cs="arial"/>
          <w:b/>
          <w:color w:val="000000"/>
          <w:sz w:val="20"/>
          <w:lang w:val="en-US" w:eastAsia="en-US" w:bidi="ar-SA"/>
        </w:rPr>
        <w:t>)</w:t>
      </w:r>
    </w:p>
    <w:p>
      <w:pPr>
        <w:numPr>
          <w:numId w:val="7"/>
        </w:numPr>
        <w:spacing w:before="120" w:line="260" w:lineRule="atLeast"/>
        <w:jc w:val="both"/>
        <w:rPr>
          <w:rFonts w:ascii="arial" w:eastAsia="arial" w:hAnsi="arial" w:cs="arial"/>
          <w:sz w:val="20"/>
          <w:lang w:val="en-US" w:eastAsia="en-US" w:bidi="ar-SA"/>
        </w:rPr>
      </w:pPr>
      <w:hyperlink r:id="rId21" w:history="1">
        <w:r>
          <w:rPr>
            <w:rFonts w:ascii="arial" w:eastAsia="arial" w:hAnsi="arial" w:cs="arial"/>
            <w:b/>
            <w:i/>
            <w:color w:val="0077CC"/>
            <w:sz w:val="20"/>
            <w:u w:val="single"/>
            <w:shd w:val="clear" w:color="auto" w:fill="FFFFFF"/>
            <w:lang w:val="en-US" w:eastAsia="en-US" w:bidi="ar-SA"/>
          </w:rPr>
          <w:t>28 U.S.C. 1331</w:t>
        </w:r>
      </w:hyperlink>
      <w:r>
        <w:rPr>
          <w:rFonts w:ascii="arial" w:eastAsia="arial" w:hAnsi="arial" w:cs="arial"/>
          <w:b/>
          <w:color w:val="000000"/>
          <w:sz w:val="20"/>
          <w:lang w:val="en-US" w:eastAsia="en-US" w:bidi="ar-SA"/>
        </w:rPr>
        <w:t>(federal question jurisdiction)</w:t>
      </w:r>
    </w:p>
    <w:p>
      <w:pPr>
        <w:numPr>
          <w:numId w:val="8"/>
        </w:numPr>
        <w:spacing w:before="120" w:line="260" w:lineRule="atLeast"/>
        <w:jc w:val="both"/>
        <w:rPr>
          <w:rFonts w:ascii="arial" w:eastAsia="arial" w:hAnsi="arial" w:cs="arial"/>
          <w:sz w:val="20"/>
          <w:lang w:val="en-US" w:eastAsia="en-US" w:bidi="ar-SA"/>
        </w:rPr>
      </w:pPr>
      <w:hyperlink r:id="rId22" w:history="1">
        <w:r>
          <w:rPr>
            <w:rFonts w:ascii="arial" w:eastAsia="arial" w:hAnsi="arial" w:cs="arial"/>
            <w:b/>
            <w:i/>
            <w:color w:val="0077CC"/>
            <w:sz w:val="20"/>
            <w:u w:val="single"/>
            <w:shd w:val="clear" w:color="auto" w:fill="FFFFFF"/>
            <w:lang w:val="en-US" w:eastAsia="en-US" w:bidi="ar-SA"/>
          </w:rPr>
          <w:t>28 U.S.C. 1361</w:t>
        </w:r>
      </w:hyperlink>
      <w:r>
        <w:rPr>
          <w:rFonts w:ascii="arial" w:eastAsia="arial" w:hAnsi="arial" w:cs="arial"/>
          <w:b/>
          <w:color w:val="000000"/>
          <w:sz w:val="20"/>
          <w:lang w:val="en-US" w:eastAsia="en-US" w:bidi="ar-SA"/>
        </w:rPr>
        <w:t>(jurisdiction over actions for mandamus)</w:t>
      </w:r>
    </w:p>
    <w:p>
      <w:pPr>
        <w:numPr>
          <w:numId w:val="9"/>
        </w:numPr>
        <w:spacing w:before="120" w:line="260" w:lineRule="atLeast"/>
        <w:jc w:val="both"/>
        <w:rPr>
          <w:rFonts w:ascii="arial" w:eastAsia="arial" w:hAnsi="arial" w:cs="arial"/>
          <w:sz w:val="20"/>
          <w:lang w:val="en-US" w:eastAsia="en-US" w:bidi="ar-SA"/>
        </w:rPr>
      </w:pPr>
      <w:hyperlink r:id="rId23" w:history="1">
        <w:r>
          <w:rPr>
            <w:rFonts w:ascii="arial" w:eastAsia="arial" w:hAnsi="arial" w:cs="arial"/>
            <w:b/>
            <w:i/>
            <w:color w:val="0077CC"/>
            <w:sz w:val="20"/>
            <w:u w:val="single"/>
            <w:shd w:val="clear" w:color="auto" w:fill="FFFFFF"/>
            <w:lang w:val="en-US" w:eastAsia="en-US" w:bidi="ar-SA"/>
          </w:rPr>
          <w:t>28 U.S.C. 1391</w:t>
        </w:r>
      </w:hyperlink>
      <w:r>
        <w:rPr>
          <w:rFonts w:ascii="arial" w:eastAsia="arial" w:hAnsi="arial" w:cs="arial"/>
          <w:b/>
          <w:color w:val="000000"/>
          <w:sz w:val="20"/>
          <w:lang w:val="en-US" w:eastAsia="en-US" w:bidi="ar-SA"/>
        </w:rPr>
        <w:t>(venue)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Immigration</w:t>
      </w:r>
    </w:p>
    <w:p>
      <w:pPr>
        <w:numPr>
          <w:numId w:val="10"/>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INA 212, </w:t>
      </w:r>
      <w:hyperlink r:id="rId25" w:history="1">
        <w:r>
          <w:rPr>
            <w:rFonts w:ascii="arial" w:eastAsia="arial" w:hAnsi="arial" w:cs="arial"/>
            <w:b/>
            <w:i/>
            <w:color w:val="0077CC"/>
            <w:sz w:val="20"/>
            <w:u w:val="single"/>
            <w:shd w:val="clear" w:color="auto" w:fill="FFFFFF"/>
            <w:lang w:val="en-US" w:eastAsia="en-US" w:bidi="ar-SA"/>
          </w:rPr>
          <w:t>8 U.S.C. 1182</w:t>
        </w:r>
      </w:hyperlink>
    </w:p>
    <w:p>
      <w:pPr>
        <w:numPr>
          <w:numId w:val="11"/>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INA 203(b)(2), </w:t>
      </w:r>
      <w:hyperlink r:id="rId26" w:history="1">
        <w:r>
          <w:rPr>
            <w:rFonts w:ascii="arial" w:eastAsia="arial" w:hAnsi="arial" w:cs="arial"/>
            <w:b/>
            <w:i/>
            <w:color w:val="0077CC"/>
            <w:sz w:val="20"/>
            <w:u w:val="single"/>
            <w:shd w:val="clear" w:color="auto" w:fill="FFFFFF"/>
            <w:lang w:val="en-US" w:eastAsia="en-US" w:bidi="ar-SA"/>
          </w:rPr>
          <w:t>8 U.S.C. 1153(b)(2)</w:t>
        </w:r>
      </w:hyperlink>
    </w:p>
    <w:p>
      <w:pPr>
        <w:numPr>
          <w:numId w:val="12"/>
        </w:numPr>
        <w:spacing w:before="240" w:line="260" w:lineRule="atLeast"/>
        <w:jc w:val="both"/>
        <w:rPr>
          <w:rFonts w:ascii="arial" w:eastAsia="arial" w:hAnsi="arial" w:cs="arial"/>
          <w:sz w:val="20"/>
          <w:lang w:val="en-US" w:eastAsia="en-US" w:bidi="ar-SA"/>
        </w:rPr>
      </w:pPr>
      <w:hyperlink r:id="rId27" w:history="1">
        <w:r>
          <w:rPr>
            <w:rFonts w:ascii="arial" w:eastAsia="arial" w:hAnsi="arial" w:cs="arial"/>
            <w:b/>
            <w:i/>
            <w:color w:val="0077CC"/>
            <w:sz w:val="20"/>
            <w:u w:val="single"/>
            <w:shd w:val="clear" w:color="auto" w:fill="FFFFFF"/>
            <w:lang w:val="en-US" w:eastAsia="en-US" w:bidi="ar-SA"/>
          </w:rPr>
          <w:t>8 U.S.C. 1158</w:t>
        </w:r>
      </w:hyperlink>
    </w:p>
    <w:p>
      <w:pPr>
        <w:numPr>
          <w:numId w:val="13"/>
        </w:numPr>
        <w:spacing w:before="240" w:line="260" w:lineRule="atLeast"/>
        <w:jc w:val="both"/>
        <w:rPr>
          <w:rFonts w:ascii="arial" w:eastAsia="arial" w:hAnsi="arial" w:cs="arial"/>
          <w:sz w:val="20"/>
          <w:lang w:val="en-US" w:eastAsia="en-US" w:bidi="ar-SA"/>
        </w:rPr>
      </w:pPr>
      <w:hyperlink r:id="rId28" w:history="1">
        <w:r>
          <w:rPr>
            <w:rFonts w:ascii="arial" w:eastAsia="arial" w:hAnsi="arial" w:cs="arial"/>
            <w:b/>
            <w:i/>
            <w:color w:val="0077CC"/>
            <w:sz w:val="20"/>
            <w:u w:val="single"/>
            <w:shd w:val="clear" w:color="auto" w:fill="FFFFFF"/>
            <w:lang w:val="en-US" w:eastAsia="en-US" w:bidi="ar-SA"/>
          </w:rPr>
          <w:t>8 U.S.C. 1226</w:t>
        </w:r>
      </w:hyperlink>
    </w:p>
    <w:p>
      <w:pPr>
        <w:numPr>
          <w:numId w:val="14"/>
        </w:numPr>
        <w:spacing w:before="240" w:line="260" w:lineRule="atLeast"/>
        <w:jc w:val="both"/>
        <w:rPr>
          <w:rFonts w:ascii="arial" w:eastAsia="arial" w:hAnsi="arial" w:cs="arial"/>
          <w:sz w:val="20"/>
          <w:lang w:val="en-US" w:eastAsia="en-US" w:bidi="ar-SA"/>
        </w:rPr>
      </w:pPr>
      <w:hyperlink r:id="rId29" w:history="1">
        <w:r>
          <w:rPr>
            <w:rFonts w:ascii="arial" w:eastAsia="arial" w:hAnsi="arial" w:cs="arial"/>
            <w:b/>
            <w:i/>
            <w:color w:val="0077CC"/>
            <w:sz w:val="20"/>
            <w:u w:val="single"/>
            <w:shd w:val="clear" w:color="auto" w:fill="FFFFFF"/>
            <w:lang w:val="en-US" w:eastAsia="en-US" w:bidi="ar-SA"/>
          </w:rPr>
          <w:t>8 U.S.C. 1231(b)(3)</w:t>
        </w:r>
      </w:hyperlink>
    </w:p>
    <w:p>
      <w:pPr>
        <w:numPr>
          <w:numId w:val="15"/>
        </w:numPr>
        <w:spacing w:before="240" w:line="260" w:lineRule="atLeast"/>
        <w:jc w:val="both"/>
        <w:rPr>
          <w:rFonts w:ascii="arial" w:eastAsia="arial" w:hAnsi="arial" w:cs="arial"/>
          <w:sz w:val="20"/>
          <w:lang w:val="en-US" w:eastAsia="en-US" w:bidi="ar-SA"/>
        </w:rPr>
      </w:pPr>
      <w:hyperlink r:id="rId30" w:history="1">
        <w:r>
          <w:rPr>
            <w:rFonts w:ascii="arial" w:eastAsia="arial" w:hAnsi="arial" w:cs="arial"/>
            <w:b/>
            <w:i/>
            <w:color w:val="0077CC"/>
            <w:sz w:val="20"/>
            <w:u w:val="single"/>
            <w:shd w:val="clear" w:color="auto" w:fill="FFFFFF"/>
            <w:lang w:val="en-US" w:eastAsia="en-US" w:bidi="ar-SA"/>
          </w:rPr>
          <w:t>8 U.S.C. 1326</w:t>
        </w:r>
      </w:hyperlink>
    </w:p>
    <w:p>
      <w:pPr>
        <w:numPr>
          <w:numId w:val="16"/>
        </w:numPr>
        <w:spacing w:before="240" w:line="260" w:lineRule="atLeast"/>
        <w:jc w:val="both"/>
        <w:rPr>
          <w:rFonts w:ascii="arial" w:eastAsia="arial" w:hAnsi="arial" w:cs="arial"/>
          <w:sz w:val="20"/>
          <w:lang w:val="en-US" w:eastAsia="en-US" w:bidi="ar-SA"/>
        </w:rPr>
      </w:pPr>
      <w:hyperlink r:id="rId31" w:history="1">
        <w:r>
          <w:rPr>
            <w:rFonts w:ascii="arial" w:eastAsia="arial" w:hAnsi="arial" w:cs="arial"/>
            <w:b/>
            <w:i/>
            <w:color w:val="0077CC"/>
            <w:sz w:val="20"/>
            <w:u w:val="single"/>
            <w:shd w:val="clear" w:color="auto" w:fill="FFFFFF"/>
            <w:lang w:val="en-US" w:eastAsia="en-US" w:bidi="ar-SA"/>
          </w:rPr>
          <w:t>8 C.F.R. 1.1(q)</w:t>
        </w:r>
      </w:hyperlink>
    </w:p>
    <w:p>
      <w:pPr>
        <w:numPr>
          <w:numId w:val="17"/>
        </w:numPr>
        <w:spacing w:before="240" w:line="260" w:lineRule="atLeast"/>
        <w:jc w:val="both"/>
        <w:rPr>
          <w:rFonts w:ascii="arial" w:eastAsia="arial" w:hAnsi="arial" w:cs="arial"/>
          <w:sz w:val="20"/>
          <w:lang w:val="en-US" w:eastAsia="en-US" w:bidi="ar-SA"/>
        </w:rPr>
      </w:pPr>
      <w:hyperlink r:id="rId32" w:history="1">
        <w:r>
          <w:rPr>
            <w:rFonts w:ascii="arial" w:eastAsia="arial" w:hAnsi="arial" w:cs="arial"/>
            <w:b/>
            <w:i/>
            <w:color w:val="0077CC"/>
            <w:sz w:val="20"/>
            <w:u w:val="single"/>
            <w:shd w:val="clear" w:color="auto" w:fill="FFFFFF"/>
            <w:lang w:val="en-US" w:eastAsia="en-US" w:bidi="ar-SA"/>
          </w:rPr>
          <w:t>8 C.F.R. 212.5</w:t>
        </w:r>
      </w:hyperlink>
    </w:p>
    <w:p>
      <w:pPr>
        <w:numPr>
          <w:numId w:val="18"/>
        </w:numPr>
        <w:spacing w:before="240" w:line="260" w:lineRule="atLeast"/>
        <w:jc w:val="both"/>
        <w:rPr>
          <w:rFonts w:ascii="arial" w:eastAsia="arial" w:hAnsi="arial" w:cs="arial"/>
          <w:sz w:val="20"/>
          <w:lang w:val="en-US" w:eastAsia="en-US" w:bidi="ar-SA"/>
        </w:rPr>
      </w:pPr>
      <w:hyperlink r:id="rId33" w:history="1">
        <w:r>
          <w:rPr>
            <w:rFonts w:ascii="arial" w:eastAsia="arial" w:hAnsi="arial" w:cs="arial"/>
            <w:b/>
            <w:i/>
            <w:color w:val="0077CC"/>
            <w:sz w:val="20"/>
            <w:u w:val="single"/>
            <w:shd w:val="clear" w:color="auto" w:fill="FFFFFF"/>
            <w:lang w:val="en-US" w:eastAsia="en-US" w:bidi="ar-SA"/>
          </w:rPr>
          <w:t>8 C.F.R. 245.2</w:t>
        </w:r>
      </w:hyperlink>
    </w:p>
    <w:p>
      <w:pPr>
        <w:numPr>
          <w:numId w:val="19"/>
        </w:numPr>
        <w:spacing w:before="240" w:line="260" w:lineRule="atLeast"/>
        <w:jc w:val="both"/>
        <w:rPr>
          <w:rFonts w:ascii="arial" w:eastAsia="arial" w:hAnsi="arial" w:cs="arial"/>
          <w:sz w:val="20"/>
          <w:lang w:val="en-US" w:eastAsia="en-US" w:bidi="ar-SA"/>
        </w:rPr>
      </w:pPr>
      <w:hyperlink r:id="rId34" w:history="1">
        <w:r>
          <w:rPr>
            <w:rFonts w:ascii="arial" w:eastAsia="arial" w:hAnsi="arial" w:cs="arial"/>
            <w:b/>
            <w:i/>
            <w:color w:val="0077CC"/>
            <w:sz w:val="20"/>
            <w:u w:val="single"/>
            <w:shd w:val="clear" w:color="auto" w:fill="FFFFFF"/>
            <w:lang w:val="en-US" w:eastAsia="en-US" w:bidi="ar-SA"/>
          </w:rPr>
          <w:t>8 C.F.R. 274a.12(c)(9)</w:t>
        </w:r>
      </w:hyperlink>
    </w:p>
    <w:p>
      <w:pPr>
        <w:numPr>
          <w:numId w:val="20"/>
        </w:numPr>
        <w:spacing w:before="240" w:line="260" w:lineRule="atLeast"/>
        <w:jc w:val="both"/>
        <w:rPr>
          <w:rFonts w:ascii="arial" w:eastAsia="arial" w:hAnsi="arial" w:cs="arial"/>
          <w:sz w:val="20"/>
          <w:lang w:val="en-US" w:eastAsia="en-US" w:bidi="ar-SA"/>
        </w:rPr>
      </w:pPr>
      <w:hyperlink r:id="rId35" w:history="1">
        <w:r>
          <w:rPr>
            <w:rFonts w:ascii="arial" w:eastAsia="arial" w:hAnsi="arial" w:cs="arial"/>
            <w:b/>
            <w:i/>
            <w:color w:val="0077CC"/>
            <w:sz w:val="20"/>
            <w:u w:val="single"/>
            <w:shd w:val="clear" w:color="auto" w:fill="FFFFFF"/>
            <w:lang w:val="en-US" w:eastAsia="en-US" w:bidi="ar-SA"/>
          </w:rPr>
          <w:t>8 C.F.R. 1003.19(h)(2)(B)</w:t>
        </w:r>
      </w:hyperlink>
    </w:p>
    <w:p>
      <w:pPr>
        <w:numPr>
          <w:numId w:val="21"/>
        </w:numPr>
        <w:spacing w:before="240" w:line="260" w:lineRule="atLeast"/>
        <w:jc w:val="both"/>
        <w:rPr>
          <w:rFonts w:ascii="arial" w:eastAsia="arial" w:hAnsi="arial" w:cs="arial"/>
          <w:sz w:val="20"/>
          <w:lang w:val="en-US" w:eastAsia="en-US" w:bidi="ar-SA"/>
        </w:rPr>
      </w:pPr>
      <w:hyperlink r:id="rId36" w:history="1">
        <w:r>
          <w:rPr>
            <w:rFonts w:ascii="arial" w:eastAsia="arial" w:hAnsi="arial" w:cs="arial"/>
            <w:b/>
            <w:i/>
            <w:color w:val="0077CC"/>
            <w:sz w:val="20"/>
            <w:u w:val="single"/>
            <w:shd w:val="clear" w:color="auto" w:fill="FFFFFF"/>
            <w:lang w:val="en-US" w:eastAsia="en-US" w:bidi="ar-SA"/>
          </w:rPr>
          <w:t>18 U.S.C. 1542</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Criminal</w:t>
      </w:r>
    </w:p>
    <w:p>
      <w:pPr>
        <w:numPr>
          <w:numId w:val="22"/>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Bail Reform Act, </w:t>
      </w:r>
      <w:hyperlink r:id="rId37" w:history="1">
        <w:r>
          <w:rPr>
            <w:rFonts w:ascii="arial" w:eastAsia="arial" w:hAnsi="arial" w:cs="arial"/>
            <w:b/>
            <w:i/>
            <w:color w:val="0077CC"/>
            <w:sz w:val="20"/>
            <w:u w:val="single"/>
            <w:shd w:val="clear" w:color="auto" w:fill="FFFFFF"/>
            <w:lang w:val="en-US" w:eastAsia="en-US" w:bidi="ar-SA"/>
          </w:rPr>
          <w:t>18 U.S.C. 3156(a)(4)</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Cases</w:t>
      </w:r>
    </w:p>
    <w:p>
      <w:pPr>
        <w:numPr>
          <w:numId w:val="23"/>
        </w:numPr>
        <w:spacing w:before="240" w:line="260" w:lineRule="atLeast"/>
        <w:jc w:val="both"/>
        <w:rPr>
          <w:rFonts w:ascii="arial" w:eastAsia="arial" w:hAnsi="arial" w:cs="arial"/>
          <w:sz w:val="20"/>
          <w:lang w:val="en-US" w:eastAsia="en-US" w:bidi="ar-SA"/>
        </w:rPr>
      </w:pPr>
      <w:hyperlink r:id="rId38" w:history="1">
        <w:r>
          <w:rPr>
            <w:rFonts w:ascii="arial" w:eastAsia="arial" w:hAnsi="arial" w:cs="arial"/>
            <w:b/>
            <w:i/>
            <w:color w:val="0077CC"/>
            <w:sz w:val="20"/>
            <w:u w:val="single"/>
            <w:shd w:val="clear" w:color="auto" w:fill="FFFFFF"/>
            <w:lang w:val="en-US" w:eastAsia="en-US" w:bidi="ar-SA"/>
          </w:rPr>
          <w:t xml:space="preserve">Zadvydas v. Davis, </w:t>
        </w:r>
      </w:hyperlink>
      <w:hyperlink r:id="rId38" w:history="1">
        <w:r>
          <w:rPr>
            <w:rFonts w:ascii="arial" w:eastAsia="arial" w:hAnsi="arial" w:cs="arial"/>
            <w:b/>
            <w:i/>
            <w:color w:val="0077CC"/>
            <w:sz w:val="20"/>
            <w:u w:val="single"/>
            <w:shd w:val="clear" w:color="auto" w:fill="FFFFFF"/>
            <w:lang w:val="en-US" w:eastAsia="en-US" w:bidi="ar-SA"/>
          </w:rPr>
          <w:t>533 U.S. 678, 690, 121 S. Ct. 2491, 2499 (2001)</w:t>
        </w:r>
      </w:hyperlink>
    </w:p>
    <w:p>
      <w:pPr>
        <w:numPr>
          <w:numId w:val="24"/>
        </w:numPr>
        <w:spacing w:before="240" w:line="260" w:lineRule="atLeast"/>
        <w:jc w:val="both"/>
        <w:rPr>
          <w:rFonts w:ascii="arial" w:eastAsia="arial" w:hAnsi="arial" w:cs="arial"/>
          <w:sz w:val="20"/>
          <w:lang w:val="en-US" w:eastAsia="en-US" w:bidi="ar-SA"/>
        </w:rPr>
      </w:pPr>
      <w:hyperlink r:id="rId39" w:history="1">
        <w:r>
          <w:rPr>
            <w:rFonts w:ascii="arial" w:eastAsia="arial" w:hAnsi="arial" w:cs="arial"/>
            <w:b/>
            <w:i/>
            <w:color w:val="0077CC"/>
            <w:sz w:val="20"/>
            <w:u w:val="single"/>
            <w:shd w:val="clear" w:color="auto" w:fill="FFFFFF"/>
            <w:lang w:val="en-US" w:eastAsia="en-US" w:bidi="ar-SA"/>
          </w:rPr>
          <w:t xml:space="preserve">Zavala v. Ridge, </w:t>
        </w:r>
      </w:hyperlink>
      <w:hyperlink r:id="rId39" w:history="1">
        <w:r>
          <w:rPr>
            <w:rFonts w:ascii="arial" w:eastAsia="arial" w:hAnsi="arial" w:cs="arial"/>
            <w:b/>
            <w:i/>
            <w:color w:val="0077CC"/>
            <w:sz w:val="20"/>
            <w:u w:val="single"/>
            <w:shd w:val="clear" w:color="auto" w:fill="FFFFFF"/>
            <w:lang w:val="en-US" w:eastAsia="en-US" w:bidi="ar-SA"/>
          </w:rPr>
          <w:t>310 F. Supp. 2d 1071 (N.D. Cal. 2004)</w:t>
        </w:r>
      </w:hyperlink>
    </w:p>
    <w:p>
      <w:pPr>
        <w:numPr>
          <w:numId w:val="25"/>
        </w:numPr>
        <w:spacing w:before="240" w:line="260" w:lineRule="atLeast"/>
        <w:jc w:val="both"/>
        <w:rPr>
          <w:rFonts w:ascii="arial" w:eastAsia="arial" w:hAnsi="arial" w:cs="arial"/>
          <w:sz w:val="20"/>
          <w:lang w:val="en-US" w:eastAsia="en-US" w:bidi="ar-SA"/>
        </w:rPr>
      </w:pPr>
      <w:hyperlink r:id="rId40" w:history="1">
        <w:r>
          <w:rPr>
            <w:rFonts w:ascii="arial" w:eastAsia="arial" w:hAnsi="arial" w:cs="arial"/>
            <w:b/>
            <w:i/>
            <w:color w:val="0077CC"/>
            <w:sz w:val="20"/>
            <w:u w:val="single"/>
            <w:shd w:val="clear" w:color="auto" w:fill="FFFFFF"/>
            <w:lang w:val="en-US" w:eastAsia="en-US" w:bidi="ar-SA"/>
          </w:rPr>
          <w:t xml:space="preserve">Navarro-Aispura v. INS, </w:t>
        </w:r>
      </w:hyperlink>
      <w:hyperlink r:id="rId40" w:history="1">
        <w:r>
          <w:rPr>
            <w:rFonts w:ascii="arial" w:eastAsia="arial" w:hAnsi="arial" w:cs="arial"/>
            <w:b/>
            <w:i/>
            <w:color w:val="0077CC"/>
            <w:sz w:val="20"/>
            <w:u w:val="single"/>
            <w:shd w:val="clear" w:color="auto" w:fill="FFFFFF"/>
            <w:lang w:val="en-US" w:eastAsia="en-US" w:bidi="ar-SA"/>
          </w:rPr>
          <w:t>53 F.3d 233 (9</w:t>
        </w:r>
      </w:hyperlink>
      <w:hyperlink r:id="rId40" w:history="1">
        <w:r>
          <w:rPr>
            <w:rFonts w:ascii="arial" w:eastAsia="arial" w:hAnsi="arial" w:cs="arial"/>
            <w:b/>
            <w:i/>
            <w:color w:val="0077CC"/>
            <w:sz w:val="20"/>
            <w:u w:val="single"/>
            <w:shd w:val="clear" w:color="auto" w:fill="FFFFFF"/>
            <w:vertAlign w:val="superscript"/>
            <w:lang w:val="en-US" w:eastAsia="en-US" w:bidi="ar-SA"/>
          </w:rPr>
          <w:t>th</w:t>
        </w:r>
      </w:hyperlink>
      <w:hyperlink r:id="rId40" w:history="1">
        <w:r>
          <w:rPr>
            <w:rFonts w:ascii="arial" w:eastAsia="arial" w:hAnsi="arial" w:cs="arial"/>
            <w:b/>
            <w:i/>
            <w:color w:val="0077CC"/>
            <w:sz w:val="20"/>
            <w:u w:val="single"/>
            <w:shd w:val="clear" w:color="auto" w:fill="FFFFFF"/>
            <w:lang w:val="en-US" w:eastAsia="en-US" w:bidi="ar-SA"/>
          </w:rPr>
          <w:t xml:space="preserve"> Cir. 1995)</w:t>
        </w:r>
      </w:hyperlink>
    </w:p>
    <w:p>
      <w:pPr>
        <w:numPr>
          <w:numId w:val="26"/>
        </w:numPr>
        <w:spacing w:before="240" w:line="260" w:lineRule="atLeast"/>
        <w:jc w:val="both"/>
        <w:rPr>
          <w:rFonts w:ascii="arial" w:eastAsia="arial" w:hAnsi="arial" w:cs="arial"/>
          <w:sz w:val="20"/>
          <w:lang w:val="en-US" w:eastAsia="en-US" w:bidi="ar-SA"/>
        </w:rPr>
      </w:pPr>
      <w:hyperlink r:id="rId41" w:history="1">
        <w:r>
          <w:rPr>
            <w:rFonts w:ascii="arial" w:eastAsia="arial" w:hAnsi="arial" w:cs="arial"/>
            <w:b/>
            <w:i/>
            <w:color w:val="0077CC"/>
            <w:sz w:val="20"/>
            <w:u w:val="single"/>
            <w:shd w:val="clear" w:color="auto" w:fill="FFFFFF"/>
            <w:lang w:val="en-US" w:eastAsia="en-US" w:bidi="ar-SA"/>
          </w:rPr>
          <w:t xml:space="preserve">Martinez-De Bojorquez v. Ashcroft, </w:t>
        </w:r>
      </w:hyperlink>
      <w:hyperlink r:id="rId41" w:history="1">
        <w:r>
          <w:rPr>
            <w:rFonts w:ascii="arial" w:eastAsia="arial" w:hAnsi="arial" w:cs="arial"/>
            <w:b/>
            <w:i/>
            <w:color w:val="0077CC"/>
            <w:sz w:val="20"/>
            <w:u w:val="single"/>
            <w:shd w:val="clear" w:color="auto" w:fill="FFFFFF"/>
            <w:lang w:val="en-US" w:eastAsia="en-US" w:bidi="ar-SA"/>
          </w:rPr>
          <w:t>365 F.3d 800 (9</w:t>
        </w:r>
      </w:hyperlink>
      <w:hyperlink r:id="rId41" w:history="1">
        <w:r>
          <w:rPr>
            <w:rFonts w:ascii="arial" w:eastAsia="arial" w:hAnsi="arial" w:cs="arial"/>
            <w:b/>
            <w:i/>
            <w:color w:val="0077CC"/>
            <w:sz w:val="20"/>
            <w:u w:val="single"/>
            <w:shd w:val="clear" w:color="auto" w:fill="FFFFFF"/>
            <w:vertAlign w:val="superscript"/>
            <w:lang w:val="en-US" w:eastAsia="en-US" w:bidi="ar-SA"/>
          </w:rPr>
          <w:t>th</w:t>
        </w:r>
      </w:hyperlink>
      <w:hyperlink r:id="rId41" w:history="1">
        <w:r>
          <w:rPr>
            <w:rFonts w:ascii="arial" w:eastAsia="arial" w:hAnsi="arial" w:cs="arial"/>
            <w:b/>
            <w:i/>
            <w:color w:val="0077CC"/>
            <w:sz w:val="20"/>
            <w:u w:val="single"/>
            <w:shd w:val="clear" w:color="auto" w:fill="FFFFFF"/>
            <w:lang w:val="en-US" w:eastAsia="en-US" w:bidi="ar-SA"/>
          </w:rPr>
          <w:t xml:space="preserve"> Cir. 2004)</w:t>
        </w:r>
      </w:hyperlink>
    </w:p>
    <w:p>
      <w:pPr>
        <w:numPr>
          <w:numId w:val="27"/>
        </w:numPr>
        <w:spacing w:before="240" w:line="260" w:lineRule="atLeast"/>
        <w:jc w:val="both"/>
        <w:rPr>
          <w:rFonts w:ascii="arial" w:eastAsia="arial" w:hAnsi="arial" w:cs="arial"/>
          <w:sz w:val="20"/>
          <w:lang w:val="en-US" w:eastAsia="en-US" w:bidi="ar-SA"/>
        </w:rPr>
      </w:pPr>
      <w:hyperlink r:id="rId42" w:history="1">
        <w:r>
          <w:rPr>
            <w:rFonts w:ascii="arial" w:eastAsia="arial" w:hAnsi="arial" w:cs="arial"/>
            <w:b/>
            <w:i/>
            <w:color w:val="0077CC"/>
            <w:sz w:val="20"/>
            <w:u w:val="single"/>
            <w:shd w:val="clear" w:color="auto" w:fill="FFFFFF"/>
            <w:lang w:val="en-US" w:eastAsia="en-US" w:bidi="ar-SA"/>
          </w:rPr>
          <w:t xml:space="preserve">Cordes v. Gonzales, </w:t>
        </w:r>
      </w:hyperlink>
      <w:hyperlink r:id="rId42" w:history="1">
        <w:r>
          <w:rPr>
            <w:rFonts w:ascii="arial" w:eastAsia="arial" w:hAnsi="arial" w:cs="arial"/>
            <w:b/>
            <w:i/>
            <w:color w:val="0077CC"/>
            <w:sz w:val="20"/>
            <w:u w:val="single"/>
            <w:shd w:val="clear" w:color="auto" w:fill="FFFFFF"/>
            <w:lang w:val="en-US" w:eastAsia="en-US" w:bidi="ar-SA"/>
          </w:rPr>
          <w:t>421 F.3d 889 (9</w:t>
        </w:r>
      </w:hyperlink>
      <w:hyperlink r:id="rId42" w:history="1">
        <w:r>
          <w:rPr>
            <w:rFonts w:ascii="arial" w:eastAsia="arial" w:hAnsi="arial" w:cs="arial"/>
            <w:b/>
            <w:i/>
            <w:color w:val="0077CC"/>
            <w:sz w:val="20"/>
            <w:u w:val="single"/>
            <w:shd w:val="clear" w:color="auto" w:fill="FFFFFF"/>
            <w:vertAlign w:val="superscript"/>
            <w:lang w:val="en-US" w:eastAsia="en-US" w:bidi="ar-SA"/>
          </w:rPr>
          <w:t>th</w:t>
        </w:r>
      </w:hyperlink>
      <w:hyperlink r:id="rId42" w:history="1">
        <w:r>
          <w:rPr>
            <w:rFonts w:ascii="arial" w:eastAsia="arial" w:hAnsi="arial" w:cs="arial"/>
            <w:b/>
            <w:i/>
            <w:color w:val="0077CC"/>
            <w:sz w:val="20"/>
            <w:u w:val="single"/>
            <w:shd w:val="clear" w:color="auto" w:fill="FFFFFF"/>
            <w:lang w:val="en-US" w:eastAsia="en-US" w:bidi="ar-SA"/>
          </w:rPr>
          <w:t xml:space="preserve"> Cir. 2005)</w:t>
        </w:r>
      </w:hyperlink>
    </w:p>
    <w:p>
      <w:pPr>
        <w:numPr>
          <w:numId w:val="28"/>
        </w:numPr>
        <w:spacing w:before="240" w:line="260" w:lineRule="atLeast"/>
        <w:jc w:val="both"/>
        <w:rPr>
          <w:rFonts w:ascii="arial" w:eastAsia="arial" w:hAnsi="arial" w:cs="arial"/>
          <w:sz w:val="20"/>
          <w:lang w:val="en-US" w:eastAsia="en-US" w:bidi="ar-SA"/>
        </w:rPr>
      </w:pPr>
      <w:hyperlink r:id="rId43" w:history="1">
        <w:r>
          <w:rPr>
            <w:rFonts w:ascii="arial" w:eastAsia="arial" w:hAnsi="arial" w:cs="arial"/>
            <w:b/>
            <w:i/>
            <w:color w:val="0077CC"/>
            <w:sz w:val="20"/>
            <w:u w:val="single"/>
            <w:shd w:val="clear" w:color="auto" w:fill="FFFFFF"/>
            <w:lang w:val="en-US" w:eastAsia="en-US" w:bidi="ar-SA"/>
          </w:rPr>
          <w:t xml:space="preserve">Francis v. INS, </w:t>
        </w:r>
      </w:hyperlink>
      <w:hyperlink r:id="rId43" w:history="1">
        <w:r>
          <w:rPr>
            <w:rFonts w:ascii="arial" w:eastAsia="arial" w:hAnsi="arial" w:cs="arial"/>
            <w:b/>
            <w:i/>
            <w:color w:val="0077CC"/>
            <w:sz w:val="20"/>
            <w:u w:val="single"/>
            <w:shd w:val="clear" w:color="auto" w:fill="FFFFFF"/>
            <w:lang w:val="en-US" w:eastAsia="en-US" w:bidi="ar-SA"/>
          </w:rPr>
          <w:t>532 F.2d 268 (2</w:t>
        </w:r>
      </w:hyperlink>
      <w:hyperlink r:id="rId43" w:history="1">
        <w:r>
          <w:rPr>
            <w:rFonts w:ascii="arial" w:eastAsia="arial" w:hAnsi="arial" w:cs="arial"/>
            <w:b/>
            <w:i/>
            <w:color w:val="0077CC"/>
            <w:sz w:val="20"/>
            <w:u w:val="single"/>
            <w:shd w:val="clear" w:color="auto" w:fill="FFFFFF"/>
            <w:vertAlign w:val="superscript"/>
            <w:lang w:val="en-US" w:eastAsia="en-US" w:bidi="ar-SA"/>
          </w:rPr>
          <w:t>d</w:t>
        </w:r>
      </w:hyperlink>
      <w:hyperlink r:id="rId43" w:history="1">
        <w:r>
          <w:rPr>
            <w:rFonts w:ascii="arial" w:eastAsia="arial" w:hAnsi="arial" w:cs="arial"/>
            <w:b/>
            <w:i/>
            <w:color w:val="0077CC"/>
            <w:sz w:val="20"/>
            <w:u w:val="single"/>
            <w:shd w:val="clear" w:color="auto" w:fill="FFFFFF"/>
            <w:lang w:val="en-US" w:eastAsia="en-US" w:bidi="ar-SA"/>
          </w:rPr>
          <w:t xml:space="preserve"> Cir. 1976)</w:t>
        </w:r>
      </w:hyperlink>
    </w:p>
    <w:p>
      <w:pPr>
        <w:numPr>
          <w:numId w:val="29"/>
        </w:numPr>
        <w:spacing w:before="240" w:line="260" w:lineRule="atLeast"/>
        <w:jc w:val="both"/>
        <w:rPr>
          <w:rFonts w:ascii="arial" w:eastAsia="arial" w:hAnsi="arial" w:cs="arial"/>
          <w:sz w:val="20"/>
          <w:lang w:val="en-US" w:eastAsia="en-US" w:bidi="ar-SA"/>
        </w:rPr>
      </w:pPr>
      <w:hyperlink r:id="rId44" w:history="1">
        <w:r>
          <w:rPr>
            <w:rFonts w:ascii="arial" w:eastAsia="arial" w:hAnsi="arial" w:cs="arial"/>
            <w:b/>
            <w:i/>
            <w:color w:val="0077CC"/>
            <w:sz w:val="20"/>
            <w:u w:val="single"/>
            <w:shd w:val="clear" w:color="auto" w:fill="FFFFFF"/>
            <w:lang w:val="en-US" w:eastAsia="en-US" w:bidi="ar-SA"/>
          </w:rPr>
          <w:t xml:space="preserve">Demore v. Kim, </w:t>
        </w:r>
      </w:hyperlink>
      <w:hyperlink r:id="rId44" w:history="1">
        <w:r>
          <w:rPr>
            <w:rFonts w:ascii="arial" w:eastAsia="arial" w:hAnsi="arial" w:cs="arial"/>
            <w:b/>
            <w:i/>
            <w:color w:val="0077CC"/>
            <w:sz w:val="20"/>
            <w:u w:val="single"/>
            <w:shd w:val="clear" w:color="auto" w:fill="FFFFFF"/>
            <w:lang w:val="en-US" w:eastAsia="en-US" w:bidi="ar-SA"/>
          </w:rPr>
          <w:t>538 U.S. 510, 123 S. Ct. 1078 (2003)</w:t>
        </w:r>
      </w:hyperlink>
    </w:p>
    <w:p>
      <w:pPr>
        <w:numPr>
          <w:numId w:val="30"/>
        </w:numPr>
        <w:spacing w:before="240" w:line="260" w:lineRule="atLeast"/>
        <w:jc w:val="both"/>
        <w:rPr>
          <w:rFonts w:ascii="arial" w:eastAsia="arial" w:hAnsi="arial" w:cs="arial"/>
          <w:sz w:val="20"/>
          <w:lang w:val="en-US" w:eastAsia="en-US" w:bidi="ar-SA"/>
        </w:rPr>
      </w:pPr>
      <w:hyperlink r:id="rId45" w:history="1">
        <w:r>
          <w:rPr>
            <w:rFonts w:ascii="arial" w:eastAsia="arial" w:hAnsi="arial" w:cs="arial"/>
            <w:b/>
            <w:i/>
            <w:color w:val="0077CC"/>
            <w:sz w:val="20"/>
            <w:u w:val="single"/>
            <w:shd w:val="clear" w:color="auto" w:fill="FFFFFF"/>
            <w:lang w:val="en-US" w:eastAsia="en-US" w:bidi="ar-SA"/>
          </w:rPr>
          <w:t xml:space="preserve">Mathews v. Eldridge, </w:t>
        </w:r>
      </w:hyperlink>
      <w:hyperlink r:id="rId45" w:history="1">
        <w:r>
          <w:rPr>
            <w:rFonts w:ascii="arial" w:eastAsia="arial" w:hAnsi="arial" w:cs="arial"/>
            <w:b/>
            <w:i/>
            <w:color w:val="0077CC"/>
            <w:sz w:val="20"/>
            <w:u w:val="single"/>
            <w:shd w:val="clear" w:color="auto" w:fill="FFFFFF"/>
            <w:lang w:val="en-US" w:eastAsia="en-US" w:bidi="ar-SA"/>
          </w:rPr>
          <w:t>424 U.S. 319, 334–5, 96 S. Ct. 893, 902–3 (1976)</w:t>
        </w:r>
      </w:hyperlink>
    </w:p>
    <w:p>
      <w:pPr>
        <w:numPr>
          <w:numId w:val="31"/>
        </w:numPr>
        <w:spacing w:before="240" w:line="260" w:lineRule="atLeast"/>
        <w:jc w:val="both"/>
        <w:rPr>
          <w:rFonts w:ascii="arial" w:eastAsia="arial" w:hAnsi="arial" w:cs="arial"/>
          <w:sz w:val="20"/>
          <w:lang w:val="en-US" w:eastAsia="en-US" w:bidi="ar-SA"/>
        </w:rPr>
      </w:pPr>
      <w:hyperlink r:id="rId46" w:history="1">
        <w:r>
          <w:rPr>
            <w:rFonts w:ascii="arial" w:eastAsia="arial" w:hAnsi="arial" w:cs="arial"/>
            <w:b/>
            <w:i/>
            <w:color w:val="0077CC"/>
            <w:sz w:val="20"/>
            <w:u w:val="single"/>
            <w:shd w:val="clear" w:color="auto" w:fill="FFFFFF"/>
            <w:lang w:val="en-US" w:eastAsia="en-US" w:bidi="ar-SA"/>
          </w:rPr>
          <w:t xml:space="preserve">Matter of Patel, </w:t>
        </w:r>
      </w:hyperlink>
      <w:hyperlink r:id="rId46" w:history="1">
        <w:r>
          <w:rPr>
            <w:rFonts w:ascii="arial" w:eastAsia="arial" w:hAnsi="arial" w:cs="arial"/>
            <w:b/>
            <w:i/>
            <w:color w:val="0077CC"/>
            <w:sz w:val="20"/>
            <w:u w:val="single"/>
            <w:shd w:val="clear" w:color="auto" w:fill="FFFFFF"/>
            <w:lang w:val="en-US" w:eastAsia="en-US" w:bidi="ar-SA"/>
          </w:rPr>
          <w:t>15 I. &amp; N. Dec. 666 (BIA 1976)</w:t>
        </w:r>
      </w:hyperlink>
    </w:p>
    <w:p>
      <w:pPr>
        <w:numPr>
          <w:numId w:val="32"/>
        </w:numPr>
        <w:spacing w:before="240" w:line="260" w:lineRule="atLeast"/>
        <w:jc w:val="both"/>
        <w:rPr>
          <w:rFonts w:ascii="arial" w:eastAsia="arial" w:hAnsi="arial" w:cs="arial"/>
          <w:sz w:val="20"/>
          <w:lang w:val="en-US" w:eastAsia="en-US" w:bidi="ar-SA"/>
        </w:rPr>
      </w:pPr>
      <w:hyperlink r:id="rId47" w:history="1">
        <w:r>
          <w:rPr>
            <w:rFonts w:ascii="arial" w:eastAsia="arial" w:hAnsi="arial" w:cs="arial"/>
            <w:b/>
            <w:i/>
            <w:color w:val="0077CC"/>
            <w:sz w:val="20"/>
            <w:u w:val="single"/>
            <w:shd w:val="clear" w:color="auto" w:fill="FFFFFF"/>
            <w:lang w:val="en-US" w:eastAsia="en-US" w:bidi="ar-SA"/>
          </w:rPr>
          <w:t xml:space="preserve">Matter of Drysdale, </w:t>
        </w:r>
      </w:hyperlink>
      <w:hyperlink r:id="rId47" w:history="1">
        <w:r>
          <w:rPr>
            <w:rFonts w:ascii="arial" w:eastAsia="arial" w:hAnsi="arial" w:cs="arial"/>
            <w:b/>
            <w:i/>
            <w:color w:val="0077CC"/>
            <w:sz w:val="20"/>
            <w:u w:val="single"/>
            <w:shd w:val="clear" w:color="auto" w:fill="FFFFFF"/>
            <w:lang w:val="en-US" w:eastAsia="en-US" w:bidi="ar-SA"/>
          </w:rPr>
          <w:t>20 I. &amp; N. Dec. 815 (BIA 1994)</w:t>
        </w:r>
      </w:hyperlink>
    </w:p>
    <w:p>
      <w:pPr>
        <w:numPr>
          <w:numId w:val="33"/>
        </w:numPr>
        <w:spacing w:before="240" w:line="260" w:lineRule="atLeast"/>
        <w:jc w:val="both"/>
        <w:rPr>
          <w:rFonts w:ascii="arial" w:eastAsia="arial" w:hAnsi="arial" w:cs="arial"/>
          <w:sz w:val="20"/>
          <w:lang w:val="en-US" w:eastAsia="en-US" w:bidi="ar-SA"/>
        </w:rPr>
      </w:pPr>
      <w:hyperlink r:id="rId48" w:history="1">
        <w:r>
          <w:rPr>
            <w:rFonts w:ascii="arial" w:eastAsia="arial" w:hAnsi="arial" w:cs="arial"/>
            <w:b/>
            <w:i/>
            <w:color w:val="0077CC"/>
            <w:sz w:val="20"/>
            <w:u w:val="single"/>
            <w:shd w:val="clear" w:color="auto" w:fill="FFFFFF"/>
            <w:lang w:val="en-US" w:eastAsia="en-US" w:bidi="ar-SA"/>
          </w:rPr>
          <w:t xml:space="preserve">Matter of Khalifah, </w:t>
        </w:r>
      </w:hyperlink>
      <w:hyperlink r:id="rId48" w:history="1">
        <w:r>
          <w:rPr>
            <w:rFonts w:ascii="arial" w:eastAsia="arial" w:hAnsi="arial" w:cs="arial"/>
            <w:b/>
            <w:i/>
            <w:color w:val="0077CC"/>
            <w:sz w:val="20"/>
            <w:u w:val="single"/>
            <w:shd w:val="clear" w:color="auto" w:fill="FFFFFF"/>
            <w:lang w:val="en-US" w:eastAsia="en-US" w:bidi="ar-SA"/>
          </w:rPr>
          <w:t>21 I. &amp; N. Dec. 107 (BIA 1995)</w:t>
        </w:r>
      </w:hyperlink>
    </w:p>
    <w:p>
      <w:pPr>
        <w:numPr>
          <w:numId w:val="34"/>
        </w:numPr>
        <w:spacing w:before="240" w:line="260" w:lineRule="atLeast"/>
        <w:jc w:val="both"/>
        <w:rPr>
          <w:rFonts w:ascii="arial" w:eastAsia="arial" w:hAnsi="arial" w:cs="arial"/>
          <w:sz w:val="20"/>
          <w:lang w:val="en-US" w:eastAsia="en-US" w:bidi="ar-SA"/>
        </w:rPr>
      </w:pPr>
      <w:hyperlink r:id="rId49" w:history="1">
        <w:r>
          <w:rPr>
            <w:rFonts w:ascii="arial" w:eastAsia="arial" w:hAnsi="arial" w:cs="arial"/>
            <w:b/>
            <w:i/>
            <w:color w:val="0077CC"/>
            <w:sz w:val="20"/>
            <w:u w:val="single"/>
            <w:shd w:val="clear" w:color="auto" w:fill="FFFFFF"/>
            <w:lang w:val="en-US" w:eastAsia="en-US" w:bidi="ar-SA"/>
          </w:rPr>
          <w:t xml:space="preserve">Matter of M-, </w:t>
        </w:r>
      </w:hyperlink>
      <w:hyperlink r:id="rId49" w:history="1">
        <w:r>
          <w:rPr>
            <w:rFonts w:ascii="arial" w:eastAsia="arial" w:hAnsi="arial" w:cs="arial"/>
            <w:b/>
            <w:i/>
            <w:color w:val="0077CC"/>
            <w:sz w:val="20"/>
            <w:u w:val="single"/>
            <w:shd w:val="clear" w:color="auto" w:fill="FFFFFF"/>
            <w:lang w:val="en-US" w:eastAsia="en-US" w:bidi="ar-SA"/>
          </w:rPr>
          <w:t>4 I. &amp; N. Dec. 626 (BIA 1952)</w:t>
        </w:r>
      </w:hyperlink>
    </w:p>
    <w:p>
      <w:pPr>
        <w:numPr>
          <w:numId w:val="35"/>
        </w:numPr>
        <w:spacing w:before="240" w:line="260" w:lineRule="atLeast"/>
        <w:jc w:val="both"/>
        <w:rPr>
          <w:rFonts w:ascii="arial" w:eastAsia="arial" w:hAnsi="arial" w:cs="arial"/>
          <w:sz w:val="20"/>
          <w:lang w:val="en-US" w:eastAsia="en-US" w:bidi="ar-SA"/>
        </w:rPr>
      </w:pPr>
      <w:hyperlink r:id="rId50" w:history="1">
        <w:r>
          <w:rPr>
            <w:rFonts w:ascii="arial" w:eastAsia="arial" w:hAnsi="arial" w:cs="arial"/>
            <w:b/>
            <w:i/>
            <w:color w:val="0077CC"/>
            <w:sz w:val="20"/>
            <w:u w:val="single"/>
            <w:shd w:val="clear" w:color="auto" w:fill="FFFFFF"/>
            <w:lang w:val="en-US" w:eastAsia="en-US" w:bidi="ar-SA"/>
          </w:rPr>
          <w:t xml:space="preserve">Clark v. Martinez, </w:t>
        </w:r>
      </w:hyperlink>
      <w:hyperlink r:id="rId50" w:history="1">
        <w:r>
          <w:rPr>
            <w:rFonts w:ascii="arial" w:eastAsia="arial" w:hAnsi="arial" w:cs="arial"/>
            <w:b/>
            <w:i/>
            <w:color w:val="0077CC"/>
            <w:sz w:val="20"/>
            <w:u w:val="single"/>
            <w:shd w:val="clear" w:color="auto" w:fill="FFFFFF"/>
            <w:lang w:val="en-US" w:eastAsia="en-US" w:bidi="ar-SA"/>
          </w:rPr>
          <w:t>125 S. Ct. 716, 726–27 (2005)</w:t>
        </w:r>
      </w:hyperlink>
    </w:p>
    <w:p>
      <w:pPr>
        <w:numPr>
          <w:numId w:val="36"/>
        </w:numPr>
        <w:spacing w:before="240" w:line="260" w:lineRule="atLeast"/>
        <w:jc w:val="both"/>
        <w:rPr>
          <w:rFonts w:ascii="arial" w:eastAsia="arial" w:hAnsi="arial" w:cs="arial"/>
          <w:sz w:val="20"/>
          <w:lang w:val="en-US" w:eastAsia="en-US" w:bidi="ar-SA"/>
        </w:rPr>
      </w:pPr>
      <w:hyperlink r:id="rId51" w:history="1">
        <w:r>
          <w:rPr>
            <w:rFonts w:ascii="arial" w:eastAsia="arial" w:hAnsi="arial" w:cs="arial"/>
            <w:b/>
            <w:i/>
            <w:color w:val="0077CC"/>
            <w:sz w:val="20"/>
            <w:u w:val="single"/>
            <w:shd w:val="clear" w:color="auto" w:fill="FFFFFF"/>
            <w:lang w:val="en-US" w:eastAsia="en-US" w:bidi="ar-SA"/>
          </w:rPr>
          <w:t xml:space="preserve">Kwai Fun Wong v. INS, </w:t>
        </w:r>
      </w:hyperlink>
      <w:hyperlink r:id="rId51" w:history="1">
        <w:r>
          <w:rPr>
            <w:rFonts w:ascii="arial" w:eastAsia="arial" w:hAnsi="arial" w:cs="arial"/>
            <w:b/>
            <w:i/>
            <w:color w:val="0077CC"/>
            <w:sz w:val="20"/>
            <w:u w:val="single"/>
            <w:shd w:val="clear" w:color="auto" w:fill="FFFFFF"/>
            <w:lang w:val="en-US" w:eastAsia="en-US" w:bidi="ar-SA"/>
          </w:rPr>
          <w:t>373 F.3d 952, 971 (9</w:t>
        </w:r>
      </w:hyperlink>
      <w:hyperlink r:id="rId51" w:history="1">
        <w:r>
          <w:rPr>
            <w:rFonts w:ascii="arial" w:eastAsia="arial" w:hAnsi="arial" w:cs="arial"/>
            <w:b/>
            <w:i/>
            <w:color w:val="0077CC"/>
            <w:sz w:val="20"/>
            <w:u w:val="single"/>
            <w:shd w:val="clear" w:color="auto" w:fill="FFFFFF"/>
            <w:vertAlign w:val="superscript"/>
            <w:lang w:val="en-US" w:eastAsia="en-US" w:bidi="ar-SA"/>
          </w:rPr>
          <w:t>th</w:t>
        </w:r>
      </w:hyperlink>
      <w:hyperlink r:id="rId51" w:history="1">
        <w:r>
          <w:rPr>
            <w:rFonts w:ascii="arial" w:eastAsia="arial" w:hAnsi="arial" w:cs="arial"/>
            <w:b/>
            <w:i/>
            <w:color w:val="0077CC"/>
            <w:sz w:val="20"/>
            <w:u w:val="single"/>
            <w:shd w:val="clear" w:color="auto" w:fill="FFFFFF"/>
            <w:lang w:val="en-US" w:eastAsia="en-US" w:bidi="ar-SA"/>
          </w:rPr>
          <w:t xml:space="preserve"> Cir. 2004)</w:t>
        </w:r>
      </w:hyperlink>
    </w:p>
    <w:p>
      <w:pPr>
        <w:numPr>
          <w:numId w:val="37"/>
        </w:numPr>
        <w:spacing w:before="240" w:line="260" w:lineRule="atLeast"/>
        <w:jc w:val="both"/>
        <w:rPr>
          <w:rFonts w:ascii="arial" w:eastAsia="arial" w:hAnsi="arial" w:cs="arial"/>
          <w:sz w:val="20"/>
          <w:lang w:val="en-US" w:eastAsia="en-US" w:bidi="ar-SA"/>
        </w:rPr>
      </w:pPr>
      <w:hyperlink r:id="rId52" w:history="1">
        <w:r>
          <w:rPr>
            <w:rFonts w:ascii="arial" w:eastAsia="arial" w:hAnsi="arial" w:cs="arial"/>
            <w:b/>
            <w:i/>
            <w:color w:val="0077CC"/>
            <w:sz w:val="20"/>
            <w:u w:val="single"/>
            <w:shd w:val="clear" w:color="auto" w:fill="FFFFFF"/>
            <w:lang w:val="en-US" w:eastAsia="en-US" w:bidi="ar-SA"/>
          </w:rPr>
          <w:t xml:space="preserve">Jean v. Nelson, </w:t>
        </w:r>
      </w:hyperlink>
      <w:hyperlink r:id="rId52" w:history="1">
        <w:r>
          <w:rPr>
            <w:rFonts w:ascii="arial" w:eastAsia="arial" w:hAnsi="arial" w:cs="arial"/>
            <w:b/>
            <w:i/>
            <w:color w:val="0077CC"/>
            <w:sz w:val="20"/>
            <w:u w:val="single"/>
            <w:shd w:val="clear" w:color="auto" w:fill="FFFFFF"/>
            <w:lang w:val="en-US" w:eastAsia="en-US" w:bidi="ar-SA"/>
          </w:rPr>
          <w:t>472 U.S. 846, 848, 105 S. Ct. 2992, 2993 (1985)</w:t>
        </w:r>
      </w:hyperlink>
    </w:p>
    <w:p>
      <w:pPr>
        <w:numPr>
          <w:numId w:val="38"/>
        </w:numPr>
        <w:spacing w:before="240" w:line="260" w:lineRule="atLeast"/>
        <w:jc w:val="both"/>
        <w:rPr>
          <w:rFonts w:ascii="arial" w:eastAsia="arial" w:hAnsi="arial" w:cs="arial"/>
          <w:sz w:val="20"/>
          <w:lang w:val="en-US" w:eastAsia="en-US" w:bidi="ar-SA"/>
        </w:rPr>
      </w:pPr>
      <w:hyperlink r:id="rId40" w:history="1">
        <w:r>
          <w:rPr>
            <w:rFonts w:ascii="arial" w:eastAsia="arial" w:hAnsi="arial" w:cs="arial"/>
            <w:b/>
            <w:i/>
            <w:color w:val="0077CC"/>
            <w:sz w:val="20"/>
            <w:u w:val="single"/>
            <w:shd w:val="clear" w:color="auto" w:fill="FFFFFF"/>
            <w:lang w:val="en-US" w:eastAsia="en-US" w:bidi="ar-SA"/>
          </w:rPr>
          <w:t xml:space="preserve">Navarro-Aispura v. INS, </w:t>
        </w:r>
      </w:hyperlink>
      <w:hyperlink r:id="rId40" w:history="1">
        <w:r>
          <w:rPr>
            <w:rFonts w:ascii="arial" w:eastAsia="arial" w:hAnsi="arial" w:cs="arial"/>
            <w:b/>
            <w:i/>
            <w:color w:val="0077CC"/>
            <w:sz w:val="20"/>
            <w:u w:val="single"/>
            <w:shd w:val="clear" w:color="auto" w:fill="FFFFFF"/>
            <w:lang w:val="en-US" w:eastAsia="en-US" w:bidi="ar-SA"/>
          </w:rPr>
          <w:t>53 F.3d 233 (9</w:t>
        </w:r>
      </w:hyperlink>
      <w:hyperlink r:id="rId40" w:history="1">
        <w:r>
          <w:rPr>
            <w:rFonts w:ascii="arial" w:eastAsia="arial" w:hAnsi="arial" w:cs="arial"/>
            <w:b/>
            <w:i/>
            <w:color w:val="0077CC"/>
            <w:sz w:val="20"/>
            <w:u w:val="single"/>
            <w:shd w:val="clear" w:color="auto" w:fill="FFFFFF"/>
            <w:vertAlign w:val="superscript"/>
            <w:lang w:val="en-US" w:eastAsia="en-US" w:bidi="ar-SA"/>
          </w:rPr>
          <w:t>th</w:t>
        </w:r>
      </w:hyperlink>
      <w:hyperlink r:id="rId40" w:history="1">
        <w:r>
          <w:rPr>
            <w:rFonts w:ascii="arial" w:eastAsia="arial" w:hAnsi="arial" w:cs="arial"/>
            <w:b/>
            <w:i/>
            <w:color w:val="0077CC"/>
            <w:sz w:val="20"/>
            <w:u w:val="single"/>
            <w:shd w:val="clear" w:color="auto" w:fill="FFFFFF"/>
            <w:lang w:val="en-US" w:eastAsia="en-US" w:bidi="ar-SA"/>
          </w:rPr>
          <w:t xml:space="preserve"> Cir. 1995)</w:t>
        </w:r>
      </w:hyperlink>
    </w:p>
    <w:p>
      <w:pPr>
        <w:numPr>
          <w:numId w:val="39"/>
        </w:numPr>
        <w:spacing w:before="240" w:line="260" w:lineRule="atLeast"/>
        <w:jc w:val="both"/>
        <w:rPr>
          <w:rFonts w:ascii="arial" w:eastAsia="arial" w:hAnsi="arial" w:cs="arial"/>
          <w:sz w:val="20"/>
          <w:lang w:val="en-US" w:eastAsia="en-US" w:bidi="ar-SA"/>
        </w:rPr>
      </w:pPr>
      <w:hyperlink r:id="rId53" w:history="1">
        <w:r>
          <w:rPr>
            <w:rFonts w:ascii="arial" w:eastAsia="arial" w:hAnsi="arial" w:cs="arial"/>
            <w:b/>
            <w:i/>
            <w:color w:val="0077CC"/>
            <w:sz w:val="20"/>
            <w:u w:val="single"/>
            <w:shd w:val="clear" w:color="auto" w:fill="FFFFFF"/>
            <w:lang w:val="en-US" w:eastAsia="en-US" w:bidi="ar-SA"/>
          </w:rPr>
          <w:t xml:space="preserve">Sissoko v. Rocha, </w:t>
        </w:r>
      </w:hyperlink>
      <w:hyperlink r:id="rId53" w:history="1">
        <w:r>
          <w:rPr>
            <w:rFonts w:ascii="arial" w:eastAsia="arial" w:hAnsi="arial" w:cs="arial"/>
            <w:b/>
            <w:i/>
            <w:color w:val="0077CC"/>
            <w:sz w:val="20"/>
            <w:u w:val="single"/>
            <w:shd w:val="clear" w:color="auto" w:fill="FFFFFF"/>
            <w:lang w:val="en-US" w:eastAsia="en-US" w:bidi="ar-SA"/>
          </w:rPr>
          <w:t>412 F.3d 1021 (9</w:t>
        </w:r>
      </w:hyperlink>
      <w:hyperlink r:id="rId53" w:history="1">
        <w:r>
          <w:rPr>
            <w:rFonts w:ascii="arial" w:eastAsia="arial" w:hAnsi="arial" w:cs="arial"/>
            <w:b/>
            <w:i/>
            <w:color w:val="0077CC"/>
            <w:sz w:val="20"/>
            <w:u w:val="single"/>
            <w:shd w:val="clear" w:color="auto" w:fill="FFFFFF"/>
            <w:vertAlign w:val="superscript"/>
            <w:lang w:val="en-US" w:eastAsia="en-US" w:bidi="ar-SA"/>
          </w:rPr>
          <w:t>th</w:t>
        </w:r>
      </w:hyperlink>
      <w:hyperlink r:id="rId53" w:history="1">
        <w:r>
          <w:rPr>
            <w:rFonts w:ascii="arial" w:eastAsia="arial" w:hAnsi="arial" w:cs="arial"/>
            <w:b/>
            <w:i/>
            <w:color w:val="0077CC"/>
            <w:sz w:val="20"/>
            <w:u w:val="single"/>
            <w:shd w:val="clear" w:color="auto" w:fill="FFFFFF"/>
            <w:lang w:val="en-US" w:eastAsia="en-US" w:bidi="ar-SA"/>
          </w:rPr>
          <w:t xml:space="preserve"> Cir. 2005)</w:t>
        </w:r>
      </w:hyperlink>
    </w:p>
    <w:p>
      <w:pPr>
        <w:numPr>
          <w:numId w:val="40"/>
        </w:numPr>
        <w:spacing w:before="240" w:line="260" w:lineRule="atLeast"/>
        <w:jc w:val="both"/>
        <w:rPr>
          <w:rFonts w:ascii="arial" w:eastAsia="arial" w:hAnsi="arial" w:cs="arial"/>
          <w:sz w:val="20"/>
          <w:lang w:val="en-US" w:eastAsia="en-US" w:bidi="ar-SA"/>
        </w:rPr>
      </w:pPr>
      <w:hyperlink r:id="rId54" w:history="1">
        <w:r>
          <w:rPr>
            <w:rFonts w:ascii="arial" w:eastAsia="arial" w:hAnsi="arial" w:cs="arial"/>
            <w:b/>
            <w:i/>
            <w:color w:val="0077CC"/>
            <w:sz w:val="20"/>
            <w:u w:val="single"/>
            <w:shd w:val="clear" w:color="auto" w:fill="FFFFFF"/>
            <w:lang w:val="en-US" w:eastAsia="en-US" w:bidi="ar-SA"/>
          </w:rPr>
          <w:t xml:space="preserve">Barney v. Rogers, </w:t>
        </w:r>
      </w:hyperlink>
      <w:hyperlink r:id="rId54" w:history="1">
        <w:r>
          <w:rPr>
            <w:rFonts w:ascii="arial" w:eastAsia="arial" w:hAnsi="arial" w:cs="arial"/>
            <w:b/>
            <w:i/>
            <w:color w:val="0077CC"/>
            <w:sz w:val="20"/>
            <w:u w:val="single"/>
            <w:shd w:val="clear" w:color="auto" w:fill="FFFFFF"/>
            <w:lang w:val="en-US" w:eastAsia="en-US" w:bidi="ar-SA"/>
          </w:rPr>
          <w:t>83 F.3d 318 (9</w:t>
        </w:r>
      </w:hyperlink>
      <w:hyperlink r:id="rId54" w:history="1">
        <w:r>
          <w:rPr>
            <w:rFonts w:ascii="arial" w:eastAsia="arial" w:hAnsi="arial" w:cs="arial"/>
            <w:b/>
            <w:i/>
            <w:color w:val="0077CC"/>
            <w:sz w:val="20"/>
            <w:u w:val="single"/>
            <w:shd w:val="clear" w:color="auto" w:fill="FFFFFF"/>
            <w:vertAlign w:val="superscript"/>
            <w:lang w:val="en-US" w:eastAsia="en-US" w:bidi="ar-SA"/>
          </w:rPr>
          <w:t>th</w:t>
        </w:r>
      </w:hyperlink>
      <w:hyperlink r:id="rId54" w:history="1">
        <w:r>
          <w:rPr>
            <w:rFonts w:ascii="arial" w:eastAsia="arial" w:hAnsi="arial" w:cs="arial"/>
            <w:b/>
            <w:i/>
            <w:color w:val="0077CC"/>
            <w:sz w:val="20"/>
            <w:u w:val="single"/>
            <w:shd w:val="clear" w:color="auto" w:fill="FFFFFF"/>
            <w:lang w:val="en-US" w:eastAsia="en-US" w:bidi="ar-SA"/>
          </w:rPr>
          <w:t xml:space="preserve"> Cir. 1996)</w:t>
        </w:r>
      </w:hyperlink>
    </w:p>
    <w:p>
      <w:pPr>
        <w:numPr>
          <w:numId w:val="41"/>
        </w:numPr>
        <w:spacing w:before="240" w:line="260" w:lineRule="atLeast"/>
        <w:jc w:val="both"/>
        <w:rPr>
          <w:rFonts w:ascii="arial" w:eastAsia="arial" w:hAnsi="arial" w:cs="arial"/>
          <w:sz w:val="20"/>
          <w:lang w:val="en-US" w:eastAsia="en-US" w:bidi="ar-SA"/>
        </w:rPr>
      </w:pPr>
      <w:hyperlink r:id="rId55" w:history="1">
        <w:r>
          <w:rPr>
            <w:rFonts w:ascii="arial" w:eastAsia="arial" w:hAnsi="arial" w:cs="arial"/>
            <w:b/>
            <w:i/>
            <w:color w:val="0077CC"/>
            <w:sz w:val="20"/>
            <w:u w:val="single"/>
            <w:shd w:val="clear" w:color="auto" w:fill="FFFFFF"/>
            <w:lang w:val="en-US" w:eastAsia="en-US" w:bidi="ar-SA"/>
          </w:rPr>
          <w:t xml:space="preserve">Bona v. Gonzales, </w:t>
        </w:r>
      </w:hyperlink>
      <w:hyperlink r:id="rId55" w:history="1">
        <w:r>
          <w:rPr>
            <w:rFonts w:ascii="arial" w:eastAsia="arial" w:hAnsi="arial" w:cs="arial"/>
            <w:b/>
            <w:i/>
            <w:color w:val="0077CC"/>
            <w:sz w:val="20"/>
            <w:u w:val="single"/>
            <w:shd w:val="clear" w:color="auto" w:fill="FFFFFF"/>
            <w:lang w:val="en-US" w:eastAsia="en-US" w:bidi="ar-SA"/>
          </w:rPr>
          <w:t>2005 U.S. App. LEXIS 21207 * 9 (Sept. 30, 2005)</w:t>
        </w:r>
      </w:hyperlink>
    </w:p>
    <w:p>
      <w:pPr>
        <w:numPr>
          <w:numId w:val="42"/>
        </w:numPr>
        <w:spacing w:before="240" w:line="260" w:lineRule="atLeast"/>
        <w:jc w:val="both"/>
        <w:rPr>
          <w:rFonts w:ascii="arial" w:eastAsia="arial" w:hAnsi="arial" w:cs="arial"/>
          <w:sz w:val="20"/>
          <w:lang w:val="en-US" w:eastAsia="en-US" w:bidi="ar-SA"/>
        </w:rPr>
      </w:pPr>
      <w:hyperlink r:id="rId56" w:history="1">
        <w:r>
          <w:rPr>
            <w:rFonts w:ascii="arial" w:eastAsia="arial" w:hAnsi="arial" w:cs="arial"/>
            <w:b/>
            <w:i/>
            <w:color w:val="0077CC"/>
            <w:sz w:val="20"/>
            <w:u w:val="single"/>
            <w:shd w:val="clear" w:color="auto" w:fill="FFFFFF"/>
            <w:lang w:val="en-US" w:eastAsia="en-US" w:bidi="ar-SA"/>
          </w:rPr>
          <w:t xml:space="preserve">Matter of Oseiwusu, </w:t>
        </w:r>
      </w:hyperlink>
      <w:hyperlink r:id="rId56" w:history="1">
        <w:r>
          <w:rPr>
            <w:rFonts w:ascii="arial" w:eastAsia="arial" w:hAnsi="arial" w:cs="arial"/>
            <w:b/>
            <w:i/>
            <w:color w:val="0077CC"/>
            <w:sz w:val="20"/>
            <w:u w:val="single"/>
            <w:shd w:val="clear" w:color="auto" w:fill="FFFFFF"/>
            <w:lang w:val="en-US" w:eastAsia="en-US" w:bidi="ar-SA"/>
          </w:rPr>
          <w:t>22 I. &amp; N. Dec. 19 (BIA 1998)</w:t>
        </w:r>
      </w:hyperlink>
    </w:p>
    <w:p>
      <w:pPr>
        <w:numPr>
          <w:numId w:val="43"/>
        </w:numPr>
        <w:spacing w:before="120" w:line="260" w:lineRule="atLeast"/>
        <w:jc w:val="both"/>
        <w:rPr>
          <w:rFonts w:ascii="arial" w:eastAsia="arial" w:hAnsi="arial" w:cs="arial"/>
          <w:sz w:val="20"/>
          <w:lang w:val="en-US" w:eastAsia="en-US" w:bidi="ar-SA"/>
        </w:rPr>
      </w:pPr>
      <w:hyperlink r:id="rId38" w:history="1">
        <w:r>
          <w:rPr>
            <w:rFonts w:ascii="arial" w:eastAsia="arial" w:hAnsi="arial" w:cs="arial"/>
            <w:b/>
            <w:i/>
            <w:color w:val="0077CC"/>
            <w:sz w:val="20"/>
            <w:u w:val="single"/>
            <w:shd w:val="clear" w:color="auto" w:fill="FFFFFF"/>
            <w:lang w:val="en-US" w:eastAsia="en-US" w:bidi="ar-SA"/>
          </w:rPr>
          <w:t xml:space="preserve">Zadvyas v. Davis, </w:t>
        </w:r>
      </w:hyperlink>
      <w:hyperlink r:id="rId38" w:history="1">
        <w:r>
          <w:rPr>
            <w:rFonts w:ascii="arial" w:eastAsia="arial" w:hAnsi="arial" w:cs="arial"/>
            <w:b/>
            <w:i/>
            <w:color w:val="0077CC"/>
            <w:sz w:val="20"/>
            <w:u w:val="single"/>
            <w:shd w:val="clear" w:color="auto" w:fill="FFFFFF"/>
            <w:lang w:val="en-US" w:eastAsia="en-US" w:bidi="ar-SA"/>
          </w:rPr>
          <w:t>533 U.S. 678</w:t>
        </w:r>
      </w:hyperlink>
      <w:r>
        <w:rPr>
          <w:rFonts w:ascii="arial" w:eastAsia="arial" w:hAnsi="arial" w:cs="arial"/>
          <w:b/>
          <w:color w:val="000000"/>
          <w:sz w:val="20"/>
          <w:lang w:val="en-US" w:eastAsia="en-US" w:bidi="ar-SA"/>
        </w:rPr>
        <w:t>(2001</w:t>
      </w:r>
    </w:p>
    <w:p>
      <w:pPr>
        <w:numPr>
          <w:numId w:val="44"/>
        </w:numPr>
        <w:spacing w:before="240" w:line="260" w:lineRule="atLeast"/>
        <w:jc w:val="both"/>
        <w:rPr>
          <w:rFonts w:ascii="arial" w:eastAsia="arial" w:hAnsi="arial" w:cs="arial"/>
          <w:sz w:val="20"/>
          <w:lang w:val="en-US" w:eastAsia="en-US" w:bidi="ar-SA"/>
        </w:rPr>
      </w:pPr>
      <w:hyperlink r:id="rId39" w:history="1">
        <w:r>
          <w:rPr>
            <w:rFonts w:ascii="arial" w:eastAsia="arial" w:hAnsi="arial" w:cs="arial"/>
            <w:b/>
            <w:i/>
            <w:color w:val="0077CC"/>
            <w:sz w:val="20"/>
            <w:u w:val="single"/>
            <w:shd w:val="clear" w:color="auto" w:fill="FFFFFF"/>
            <w:lang w:val="en-US" w:eastAsia="en-US" w:bidi="ar-SA"/>
          </w:rPr>
          <w:t xml:space="preserve">Zavala v. Ridge, </w:t>
        </w:r>
      </w:hyperlink>
      <w:hyperlink r:id="rId39" w:history="1">
        <w:r>
          <w:rPr>
            <w:rFonts w:ascii="arial" w:eastAsia="arial" w:hAnsi="arial" w:cs="arial"/>
            <w:b/>
            <w:i/>
            <w:color w:val="0077CC"/>
            <w:sz w:val="20"/>
            <w:u w:val="single"/>
            <w:shd w:val="clear" w:color="auto" w:fill="FFFFFF"/>
            <w:lang w:val="en-US" w:eastAsia="en-US" w:bidi="ar-SA"/>
          </w:rPr>
          <w:t>310 F. Supp. 2d 1071 (N.D. Cal. 2004)</w:t>
        </w:r>
      </w:hyperlink>
    </w:p>
    <w:p>
      <w:pPr>
        <w:numPr>
          <w:numId w:val="45"/>
        </w:numPr>
        <w:spacing w:before="240" w:line="260" w:lineRule="atLeast"/>
        <w:jc w:val="both"/>
        <w:rPr>
          <w:rFonts w:ascii="arial" w:eastAsia="arial" w:hAnsi="arial" w:cs="arial"/>
          <w:sz w:val="20"/>
          <w:lang w:val="en-US" w:eastAsia="en-US" w:bidi="ar-SA"/>
        </w:rPr>
      </w:pPr>
      <w:hyperlink r:id="rId51" w:history="1">
        <w:r>
          <w:rPr>
            <w:rFonts w:ascii="arial" w:eastAsia="arial" w:hAnsi="arial" w:cs="arial"/>
            <w:b/>
            <w:i/>
            <w:color w:val="0077CC"/>
            <w:sz w:val="20"/>
            <w:u w:val="single"/>
            <w:shd w:val="clear" w:color="auto" w:fill="FFFFFF"/>
            <w:lang w:val="en-US" w:eastAsia="en-US" w:bidi="ar-SA"/>
          </w:rPr>
          <w:t xml:space="preserve">Wong v. United State, </w:t>
        </w:r>
      </w:hyperlink>
      <w:hyperlink r:id="rId51" w:history="1">
        <w:r>
          <w:rPr>
            <w:rFonts w:ascii="arial" w:eastAsia="arial" w:hAnsi="arial" w:cs="arial"/>
            <w:b/>
            <w:i/>
            <w:color w:val="0077CC"/>
            <w:sz w:val="20"/>
            <w:u w:val="single"/>
            <w:shd w:val="clear" w:color="auto" w:fill="FFFFFF"/>
            <w:lang w:val="en-US" w:eastAsia="en-US" w:bidi="ar-SA"/>
          </w:rPr>
          <w:t>373 F.3d 952 (9</w:t>
        </w:r>
      </w:hyperlink>
      <w:hyperlink r:id="rId51" w:history="1">
        <w:r>
          <w:rPr>
            <w:rFonts w:ascii="arial" w:eastAsia="arial" w:hAnsi="arial" w:cs="arial"/>
            <w:b/>
            <w:i/>
            <w:color w:val="0077CC"/>
            <w:sz w:val="20"/>
            <w:u w:val="single"/>
            <w:shd w:val="clear" w:color="auto" w:fill="FFFFFF"/>
            <w:vertAlign w:val="superscript"/>
            <w:lang w:val="en-US" w:eastAsia="en-US" w:bidi="ar-SA"/>
          </w:rPr>
          <w:t>th</w:t>
        </w:r>
      </w:hyperlink>
      <w:hyperlink r:id="rId51" w:history="1">
        <w:r>
          <w:rPr>
            <w:rFonts w:ascii="arial" w:eastAsia="arial" w:hAnsi="arial" w:cs="arial"/>
            <w:b/>
            <w:i/>
            <w:color w:val="0077CC"/>
            <w:sz w:val="20"/>
            <w:u w:val="single"/>
            <w:shd w:val="clear" w:color="auto" w:fill="FFFFFF"/>
            <w:lang w:val="en-US" w:eastAsia="en-US" w:bidi="ar-SA"/>
          </w:rPr>
          <w:t xml:space="preserve"> Cir. 2003)</w:t>
        </w:r>
      </w:hyperlink>
    </w:p>
    <w:p>
      <w:pPr>
        <w:numPr>
          <w:numId w:val="46"/>
        </w:numPr>
        <w:spacing w:before="240" w:line="260" w:lineRule="atLeast"/>
        <w:jc w:val="both"/>
        <w:rPr>
          <w:rFonts w:ascii="arial" w:eastAsia="arial" w:hAnsi="arial" w:cs="arial"/>
          <w:sz w:val="20"/>
          <w:lang w:val="en-US" w:eastAsia="en-US" w:bidi="ar-SA"/>
        </w:rPr>
      </w:pPr>
      <w:hyperlink r:id="rId57" w:history="1">
        <w:r>
          <w:rPr>
            <w:rFonts w:ascii="arial" w:eastAsia="arial" w:hAnsi="arial" w:cs="arial"/>
            <w:b/>
            <w:i/>
            <w:color w:val="0077CC"/>
            <w:sz w:val="20"/>
            <w:u w:val="single"/>
            <w:shd w:val="clear" w:color="auto" w:fill="FFFFFF"/>
            <w:lang w:val="en-US" w:eastAsia="en-US" w:bidi="ar-SA"/>
          </w:rPr>
          <w:t xml:space="preserve">Mathews v. Diaz, </w:t>
        </w:r>
      </w:hyperlink>
      <w:hyperlink r:id="rId57" w:history="1">
        <w:r>
          <w:rPr>
            <w:rFonts w:ascii="arial" w:eastAsia="arial" w:hAnsi="arial" w:cs="arial"/>
            <w:b/>
            <w:i/>
            <w:color w:val="0077CC"/>
            <w:sz w:val="20"/>
            <w:u w:val="single"/>
            <w:shd w:val="clear" w:color="auto" w:fill="FFFFFF"/>
            <w:lang w:val="en-US" w:eastAsia="en-US" w:bidi="ar-SA"/>
          </w:rPr>
          <w:t>426 U.S. 67, 96 S. Ct. 1883 (1976)</w:t>
        </w:r>
      </w:hyperlink>
    </w:p>
    <w:p>
      <w:pPr>
        <w:numPr>
          <w:numId w:val="47"/>
        </w:numPr>
        <w:spacing w:before="240" w:line="260" w:lineRule="atLeast"/>
        <w:jc w:val="both"/>
        <w:rPr>
          <w:rFonts w:ascii="arial" w:eastAsia="arial" w:hAnsi="arial" w:cs="arial"/>
          <w:sz w:val="20"/>
          <w:lang w:val="en-US" w:eastAsia="en-US" w:bidi="ar-SA"/>
        </w:rPr>
      </w:pPr>
      <w:hyperlink r:id="rId58" w:history="1">
        <w:r>
          <w:rPr>
            <w:rFonts w:ascii="arial" w:eastAsia="arial" w:hAnsi="arial" w:cs="arial"/>
            <w:b/>
            <w:i/>
            <w:color w:val="0077CC"/>
            <w:sz w:val="20"/>
            <w:u w:val="single"/>
            <w:shd w:val="clear" w:color="auto" w:fill="FFFFFF"/>
            <w:lang w:val="en-US" w:eastAsia="en-US" w:bidi="ar-SA"/>
          </w:rPr>
          <w:t xml:space="preserve">Alvarez-Mendez v. Stock, </w:t>
        </w:r>
      </w:hyperlink>
      <w:hyperlink r:id="rId58" w:history="1">
        <w:r>
          <w:rPr>
            <w:rFonts w:ascii="arial" w:eastAsia="arial" w:hAnsi="arial" w:cs="arial"/>
            <w:b/>
            <w:i/>
            <w:color w:val="0077CC"/>
            <w:sz w:val="20"/>
            <w:u w:val="single"/>
            <w:shd w:val="clear" w:color="auto" w:fill="FFFFFF"/>
            <w:lang w:val="en-US" w:eastAsia="en-US" w:bidi="ar-SA"/>
          </w:rPr>
          <w:t>941 F.2d 956, 962 &amp; n.6 (9</w:t>
        </w:r>
      </w:hyperlink>
      <w:hyperlink r:id="rId58" w:history="1">
        <w:r>
          <w:rPr>
            <w:rFonts w:ascii="arial" w:eastAsia="arial" w:hAnsi="arial" w:cs="arial"/>
            <w:b/>
            <w:i/>
            <w:color w:val="0077CC"/>
            <w:sz w:val="20"/>
            <w:u w:val="single"/>
            <w:shd w:val="clear" w:color="auto" w:fill="FFFFFF"/>
            <w:vertAlign w:val="superscript"/>
            <w:lang w:val="en-US" w:eastAsia="en-US" w:bidi="ar-SA"/>
          </w:rPr>
          <w:t>th</w:t>
        </w:r>
      </w:hyperlink>
      <w:hyperlink r:id="rId58" w:history="1">
        <w:r>
          <w:rPr>
            <w:rFonts w:ascii="arial" w:eastAsia="arial" w:hAnsi="arial" w:cs="arial"/>
            <w:b/>
            <w:i/>
            <w:color w:val="0077CC"/>
            <w:sz w:val="20"/>
            <w:u w:val="single"/>
            <w:shd w:val="clear" w:color="auto" w:fill="FFFFFF"/>
            <w:lang w:val="en-US" w:eastAsia="en-US" w:bidi="ar-SA"/>
          </w:rPr>
          <w:t xml:space="preserve"> Cir. 1991)</w:t>
        </w:r>
      </w:hyperlink>
    </w:p>
    <w:p>
      <w:pPr>
        <w:numPr>
          <w:numId w:val="48"/>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lang w:val="en-US" w:eastAsia="en-US" w:bidi="ar-SA"/>
        </w:rPr>
        <w:t xml:space="preserve">Lynch v. Cannatella, </w:t>
      </w:r>
      <w:r>
        <w:rPr>
          <w:rFonts w:ascii="arial" w:eastAsia="arial" w:hAnsi="arial" w:cs="arial"/>
          <w:b/>
          <w:i/>
          <w:color w:val="000000"/>
          <w:sz w:val="20"/>
          <w:lang w:val="en-US" w:eastAsia="en-US" w:bidi="ar-SA"/>
        </w:rPr>
        <w:t>810 F.2d 1363, 1374 (5</w:t>
      </w:r>
      <w:r>
        <w:rPr>
          <w:rFonts w:ascii="arial" w:eastAsia="arial" w:hAnsi="arial" w:cs="arial"/>
          <w:b/>
          <w:i/>
          <w:color w:val="000000"/>
          <w:sz w:val="20"/>
          <w:vertAlign w:val="superscript"/>
          <w:lang w:val="en-US" w:eastAsia="en-US" w:bidi="ar-SA"/>
        </w:rPr>
        <w:t>th</w:t>
      </w:r>
      <w:r>
        <w:rPr>
          <w:rFonts w:ascii="arial" w:eastAsia="arial" w:hAnsi="arial" w:cs="arial"/>
          <w:b/>
          <w:i/>
          <w:color w:val="000000"/>
          <w:sz w:val="20"/>
          <w:lang w:val="en-US" w:eastAsia="en-US" w:bidi="ar-SA"/>
        </w:rPr>
        <w:t xml:space="preserve"> Cir. 1987)</w:t>
      </w:r>
    </w:p>
    <w:p>
      <w:pPr>
        <w:numPr>
          <w:numId w:val="49"/>
        </w:numPr>
        <w:spacing w:before="240" w:line="260" w:lineRule="atLeast"/>
        <w:jc w:val="both"/>
        <w:rPr>
          <w:rFonts w:ascii="arial" w:eastAsia="arial" w:hAnsi="arial" w:cs="arial"/>
          <w:sz w:val="20"/>
          <w:lang w:val="en-US" w:eastAsia="en-US" w:bidi="ar-SA"/>
        </w:rPr>
      </w:pPr>
      <w:hyperlink r:id="rId59" w:history="1">
        <w:r>
          <w:rPr>
            <w:rFonts w:ascii="arial" w:eastAsia="arial" w:hAnsi="arial" w:cs="arial"/>
            <w:b/>
            <w:i/>
            <w:color w:val="0077CC"/>
            <w:sz w:val="20"/>
            <w:u w:val="single"/>
            <w:shd w:val="clear" w:color="auto" w:fill="FFFFFF"/>
            <w:lang w:val="en-US" w:eastAsia="en-US" w:bidi="ar-SA"/>
          </w:rPr>
          <w:t xml:space="preserve">Mullane v. Hanover Bank &amp; Trust Co., </w:t>
        </w:r>
      </w:hyperlink>
      <w:hyperlink r:id="rId59" w:history="1">
        <w:r>
          <w:rPr>
            <w:rFonts w:ascii="arial" w:eastAsia="arial" w:hAnsi="arial" w:cs="arial"/>
            <w:b/>
            <w:i/>
            <w:color w:val="0077CC"/>
            <w:sz w:val="20"/>
            <w:u w:val="single"/>
            <w:shd w:val="clear" w:color="auto" w:fill="FFFFFF"/>
            <w:lang w:val="en-US" w:eastAsia="en-US" w:bidi="ar-SA"/>
          </w:rPr>
          <w:t>339 U.S. 306, 314, 70 S. Ct. 652, 657 (1950)</w:t>
        </w:r>
      </w:hyperlink>
    </w:p>
    <w:p>
      <w:pPr>
        <w:numPr>
          <w:numId w:val="50"/>
        </w:numPr>
        <w:spacing w:before="240" w:line="260" w:lineRule="atLeast"/>
        <w:jc w:val="both"/>
        <w:rPr>
          <w:rFonts w:ascii="arial" w:eastAsia="arial" w:hAnsi="arial" w:cs="arial"/>
          <w:sz w:val="20"/>
          <w:lang w:val="en-US" w:eastAsia="en-US" w:bidi="ar-SA"/>
        </w:rPr>
      </w:pPr>
      <w:hyperlink r:id="rId60" w:history="1">
        <w:r>
          <w:rPr>
            <w:rFonts w:ascii="arial" w:eastAsia="arial" w:hAnsi="arial" w:cs="arial"/>
            <w:b/>
            <w:i/>
            <w:color w:val="0077CC"/>
            <w:sz w:val="20"/>
            <w:u w:val="single"/>
            <w:shd w:val="clear" w:color="auto" w:fill="FFFFFF"/>
            <w:lang w:val="en-US" w:eastAsia="en-US" w:bidi="ar-SA"/>
          </w:rPr>
          <w:t xml:space="preserve">Varga-Garcia v. INS, </w:t>
        </w:r>
      </w:hyperlink>
      <w:hyperlink r:id="rId60" w:history="1">
        <w:r>
          <w:rPr>
            <w:rFonts w:ascii="arial" w:eastAsia="arial" w:hAnsi="arial" w:cs="arial"/>
            <w:b/>
            <w:i/>
            <w:color w:val="0077CC"/>
            <w:sz w:val="20"/>
            <w:u w:val="single"/>
            <w:shd w:val="clear" w:color="auto" w:fill="FFFFFF"/>
            <w:lang w:val="en-US" w:eastAsia="en-US" w:bidi="ar-SA"/>
          </w:rPr>
          <w:t>287 F.3d 882 (9</w:t>
        </w:r>
      </w:hyperlink>
      <w:hyperlink r:id="rId60" w:history="1">
        <w:r>
          <w:rPr>
            <w:rFonts w:ascii="arial" w:eastAsia="arial" w:hAnsi="arial" w:cs="arial"/>
            <w:b/>
            <w:i/>
            <w:color w:val="0077CC"/>
            <w:sz w:val="20"/>
            <w:u w:val="single"/>
            <w:shd w:val="clear" w:color="auto" w:fill="FFFFFF"/>
            <w:vertAlign w:val="superscript"/>
            <w:lang w:val="en-US" w:eastAsia="en-US" w:bidi="ar-SA"/>
          </w:rPr>
          <w:t>th</w:t>
        </w:r>
      </w:hyperlink>
      <w:hyperlink r:id="rId60" w:history="1">
        <w:r>
          <w:rPr>
            <w:rFonts w:ascii="arial" w:eastAsia="arial" w:hAnsi="arial" w:cs="arial"/>
            <w:b/>
            <w:i/>
            <w:color w:val="0077CC"/>
            <w:sz w:val="20"/>
            <w:u w:val="single"/>
            <w:shd w:val="clear" w:color="auto" w:fill="FFFFFF"/>
            <w:lang w:val="en-US" w:eastAsia="en-US" w:bidi="ar-SA"/>
          </w:rPr>
          <w:t xml:space="preserve"> Cir. 2002)</w:t>
        </w:r>
      </w:hyperlink>
    </w:p>
    <w:p>
      <w:pPr>
        <w:numPr>
          <w:numId w:val="51"/>
        </w:numPr>
        <w:spacing w:before="240" w:line="260" w:lineRule="atLeast"/>
        <w:jc w:val="both"/>
        <w:rPr>
          <w:rFonts w:ascii="arial" w:eastAsia="arial" w:hAnsi="arial" w:cs="arial"/>
          <w:sz w:val="20"/>
          <w:lang w:val="en-US" w:eastAsia="en-US" w:bidi="ar-SA"/>
        </w:rPr>
      </w:pPr>
      <w:hyperlink r:id="rId61" w:history="1">
        <w:r>
          <w:rPr>
            <w:rFonts w:ascii="arial" w:eastAsia="arial" w:hAnsi="arial" w:cs="arial"/>
            <w:b/>
            <w:i/>
            <w:color w:val="0077CC"/>
            <w:sz w:val="20"/>
            <w:u w:val="single"/>
            <w:shd w:val="clear" w:color="auto" w:fill="FFFFFF"/>
            <w:lang w:val="en-US" w:eastAsia="en-US" w:bidi="ar-SA"/>
          </w:rPr>
          <w:t xml:space="preserve">Walters v. Reno, </w:t>
        </w:r>
      </w:hyperlink>
      <w:hyperlink r:id="rId61" w:history="1">
        <w:r>
          <w:rPr>
            <w:rFonts w:ascii="arial" w:eastAsia="arial" w:hAnsi="arial" w:cs="arial"/>
            <w:b/>
            <w:i/>
            <w:color w:val="0077CC"/>
            <w:sz w:val="20"/>
            <w:u w:val="single"/>
            <w:shd w:val="clear" w:color="auto" w:fill="FFFFFF"/>
            <w:lang w:val="en-US" w:eastAsia="en-US" w:bidi="ar-SA"/>
          </w:rPr>
          <w:t>145 F.3d 1032, 1042 (9</w:t>
        </w:r>
      </w:hyperlink>
      <w:hyperlink r:id="rId61" w:history="1">
        <w:r>
          <w:rPr>
            <w:rFonts w:ascii="arial" w:eastAsia="arial" w:hAnsi="arial" w:cs="arial"/>
            <w:b/>
            <w:i/>
            <w:color w:val="0077CC"/>
            <w:sz w:val="20"/>
            <w:u w:val="single"/>
            <w:shd w:val="clear" w:color="auto" w:fill="FFFFFF"/>
            <w:vertAlign w:val="superscript"/>
            <w:lang w:val="en-US" w:eastAsia="en-US" w:bidi="ar-SA"/>
          </w:rPr>
          <w:t>th</w:t>
        </w:r>
      </w:hyperlink>
      <w:hyperlink r:id="rId61" w:history="1">
        <w:r>
          <w:rPr>
            <w:rFonts w:ascii="arial" w:eastAsia="arial" w:hAnsi="arial" w:cs="arial"/>
            <w:b/>
            <w:i/>
            <w:color w:val="0077CC"/>
            <w:sz w:val="20"/>
            <w:u w:val="single"/>
            <w:shd w:val="clear" w:color="auto" w:fill="FFFFFF"/>
            <w:lang w:val="en-US" w:eastAsia="en-US" w:bidi="ar-SA"/>
          </w:rPr>
          <w:t xml:space="preserve"> Cir. 1998)</w:t>
        </w:r>
      </w:hyperlink>
    </w:p>
    <w:p>
      <w:pPr>
        <w:numPr>
          <w:numId w:val="52"/>
        </w:numPr>
        <w:spacing w:before="240" w:line="260" w:lineRule="atLeast"/>
        <w:jc w:val="both"/>
        <w:rPr>
          <w:rFonts w:ascii="arial" w:eastAsia="arial" w:hAnsi="arial" w:cs="arial"/>
          <w:sz w:val="20"/>
          <w:lang w:val="en-US" w:eastAsia="en-US" w:bidi="ar-SA"/>
        </w:rPr>
      </w:pPr>
      <w:hyperlink r:id="rId62" w:history="1">
        <w:r>
          <w:rPr>
            <w:rFonts w:ascii="arial" w:eastAsia="arial" w:hAnsi="arial" w:cs="arial"/>
            <w:b/>
            <w:i/>
            <w:color w:val="0077CC"/>
            <w:sz w:val="20"/>
            <w:u w:val="single"/>
            <w:shd w:val="clear" w:color="auto" w:fill="FFFFFF"/>
            <w:lang w:val="en-US" w:eastAsia="en-US" w:bidi="ar-SA"/>
          </w:rPr>
          <w:t xml:space="preserve">Yick Wo v. Hopkins, </w:t>
        </w:r>
      </w:hyperlink>
      <w:hyperlink r:id="rId62" w:history="1">
        <w:r>
          <w:rPr>
            <w:rFonts w:ascii="arial" w:eastAsia="arial" w:hAnsi="arial" w:cs="arial"/>
            <w:b/>
            <w:i/>
            <w:color w:val="0077CC"/>
            <w:sz w:val="20"/>
            <w:u w:val="single"/>
            <w:shd w:val="clear" w:color="auto" w:fill="FFFFFF"/>
            <w:lang w:val="en-US" w:eastAsia="en-US" w:bidi="ar-SA"/>
          </w:rPr>
          <w:t>118 U.S. 356, 369, 6 S. Ct. 1064, 1070 (1886)</w:t>
        </w:r>
      </w:hyperlink>
    </w:p>
    <w:p>
      <w:pPr>
        <w:numPr>
          <w:numId w:val="53"/>
        </w:numPr>
        <w:spacing w:before="240" w:line="260" w:lineRule="atLeast"/>
        <w:jc w:val="both"/>
        <w:rPr>
          <w:rFonts w:ascii="arial" w:eastAsia="arial" w:hAnsi="arial" w:cs="arial"/>
          <w:sz w:val="20"/>
          <w:lang w:val="en-US" w:eastAsia="en-US" w:bidi="ar-SA"/>
        </w:rPr>
      </w:pPr>
      <w:hyperlink r:id="rId63" w:history="1">
        <w:r>
          <w:rPr>
            <w:rFonts w:ascii="arial" w:eastAsia="arial" w:hAnsi="arial" w:cs="arial"/>
            <w:b/>
            <w:i/>
            <w:color w:val="0077CC"/>
            <w:sz w:val="20"/>
            <w:u w:val="single"/>
            <w:shd w:val="clear" w:color="auto" w:fill="FFFFFF"/>
            <w:lang w:val="en-US" w:eastAsia="en-US" w:bidi="ar-SA"/>
          </w:rPr>
          <w:t xml:space="preserve">Aguirre v. INS, </w:t>
        </w:r>
      </w:hyperlink>
      <w:hyperlink r:id="rId63" w:history="1">
        <w:r>
          <w:rPr>
            <w:rFonts w:ascii="arial" w:eastAsia="arial" w:hAnsi="arial" w:cs="arial"/>
            <w:b/>
            <w:i/>
            <w:color w:val="0077CC"/>
            <w:sz w:val="20"/>
            <w:u w:val="single"/>
            <w:shd w:val="clear" w:color="auto" w:fill="FFFFFF"/>
            <w:lang w:val="en-US" w:eastAsia="en-US" w:bidi="ar-SA"/>
          </w:rPr>
          <w:t>79 F.3d 315, 317 (2d Cir. 1996)</w:t>
        </w:r>
      </w:hyperlink>
    </w:p>
    <w:p>
      <w:pPr>
        <w:numPr>
          <w:numId w:val="54"/>
        </w:numPr>
        <w:spacing w:before="240" w:line="260" w:lineRule="atLeast"/>
        <w:jc w:val="both"/>
        <w:rPr>
          <w:rFonts w:ascii="arial" w:eastAsia="arial" w:hAnsi="arial" w:cs="arial"/>
          <w:sz w:val="20"/>
          <w:lang w:val="en-US" w:eastAsia="en-US" w:bidi="ar-SA"/>
        </w:rPr>
      </w:pPr>
      <w:hyperlink r:id="rId64" w:history="1">
        <w:r>
          <w:rPr>
            <w:rFonts w:ascii="arial" w:eastAsia="arial" w:hAnsi="arial" w:cs="arial"/>
            <w:b/>
            <w:i/>
            <w:color w:val="0077CC"/>
            <w:sz w:val="20"/>
            <w:u w:val="single"/>
            <w:shd w:val="clear" w:color="auto" w:fill="FFFFFF"/>
            <w:lang w:val="en-US" w:eastAsia="en-US" w:bidi="ar-SA"/>
          </w:rPr>
          <w:t xml:space="preserve">Reno v. Flores, </w:t>
        </w:r>
      </w:hyperlink>
      <w:hyperlink r:id="rId64" w:history="1">
        <w:r>
          <w:rPr>
            <w:rFonts w:ascii="arial" w:eastAsia="arial" w:hAnsi="arial" w:cs="arial"/>
            <w:b/>
            <w:i/>
            <w:color w:val="0077CC"/>
            <w:sz w:val="20"/>
            <w:u w:val="single"/>
            <w:shd w:val="clear" w:color="auto" w:fill="FFFFFF"/>
            <w:lang w:val="en-US" w:eastAsia="en-US" w:bidi="ar-SA"/>
          </w:rPr>
          <w:t>507 U.S. 292, 306, 113 S. Ct. 1439, 1449 (1993)</w:t>
        </w:r>
      </w:hyperlink>
    </w:p>
    <w:p>
      <w:pPr>
        <w:numPr>
          <w:numId w:val="55"/>
        </w:numPr>
        <w:spacing w:before="240" w:line="260" w:lineRule="atLeast"/>
        <w:jc w:val="both"/>
        <w:rPr>
          <w:rFonts w:ascii="arial" w:eastAsia="arial" w:hAnsi="arial" w:cs="arial"/>
          <w:sz w:val="20"/>
          <w:lang w:val="en-US" w:eastAsia="en-US" w:bidi="ar-SA"/>
        </w:rPr>
      </w:pPr>
      <w:hyperlink r:id="rId42" w:history="1">
        <w:r>
          <w:rPr>
            <w:rFonts w:ascii="arial" w:eastAsia="arial" w:hAnsi="arial" w:cs="arial"/>
            <w:b/>
            <w:i/>
            <w:color w:val="0077CC"/>
            <w:sz w:val="20"/>
            <w:u w:val="single"/>
            <w:shd w:val="clear" w:color="auto" w:fill="FFFFFF"/>
            <w:lang w:val="en-US" w:eastAsia="en-US" w:bidi="ar-SA"/>
          </w:rPr>
          <w:t xml:space="preserve">Cordes v. Gonzales, </w:t>
        </w:r>
      </w:hyperlink>
      <w:hyperlink r:id="rId42" w:history="1">
        <w:r>
          <w:rPr>
            <w:rFonts w:ascii="arial" w:eastAsia="arial" w:hAnsi="arial" w:cs="arial"/>
            <w:b/>
            <w:i/>
            <w:color w:val="0077CC"/>
            <w:sz w:val="20"/>
            <w:u w:val="single"/>
            <w:shd w:val="clear" w:color="auto" w:fill="FFFFFF"/>
            <w:lang w:val="en-US" w:eastAsia="en-US" w:bidi="ar-SA"/>
          </w:rPr>
          <w:t>421 F.3d 889 (9</w:t>
        </w:r>
      </w:hyperlink>
      <w:hyperlink r:id="rId42" w:history="1">
        <w:r>
          <w:rPr>
            <w:rFonts w:ascii="arial" w:eastAsia="arial" w:hAnsi="arial" w:cs="arial"/>
            <w:b/>
            <w:i/>
            <w:color w:val="0077CC"/>
            <w:sz w:val="20"/>
            <w:u w:val="single"/>
            <w:shd w:val="clear" w:color="auto" w:fill="FFFFFF"/>
            <w:vertAlign w:val="superscript"/>
            <w:lang w:val="en-US" w:eastAsia="en-US" w:bidi="ar-SA"/>
          </w:rPr>
          <w:t>th</w:t>
        </w:r>
      </w:hyperlink>
      <w:hyperlink r:id="rId42" w:history="1">
        <w:r>
          <w:rPr>
            <w:rFonts w:ascii="arial" w:eastAsia="arial" w:hAnsi="arial" w:cs="arial"/>
            <w:b/>
            <w:i/>
            <w:color w:val="0077CC"/>
            <w:sz w:val="20"/>
            <w:u w:val="single"/>
            <w:shd w:val="clear" w:color="auto" w:fill="FFFFFF"/>
            <w:lang w:val="en-US" w:eastAsia="en-US" w:bidi="ar-SA"/>
          </w:rPr>
          <w:t xml:space="preserve"> Cir. 2005)</w:t>
        </w:r>
      </w:hyperlink>
    </w:p>
    <w:p>
      <w:pPr>
        <w:numPr>
          <w:numId w:val="56"/>
        </w:numPr>
        <w:spacing w:before="240" w:line="260" w:lineRule="atLeast"/>
        <w:jc w:val="both"/>
        <w:rPr>
          <w:rFonts w:ascii="arial" w:eastAsia="arial" w:hAnsi="arial" w:cs="arial"/>
          <w:sz w:val="20"/>
          <w:lang w:val="en-US" w:eastAsia="en-US" w:bidi="ar-SA"/>
        </w:rPr>
      </w:pPr>
      <w:hyperlink r:id="rId43" w:history="1">
        <w:r>
          <w:rPr>
            <w:rFonts w:ascii="arial" w:eastAsia="arial" w:hAnsi="arial" w:cs="arial"/>
            <w:b/>
            <w:i/>
            <w:color w:val="0077CC"/>
            <w:sz w:val="20"/>
            <w:u w:val="single"/>
            <w:shd w:val="clear" w:color="auto" w:fill="FFFFFF"/>
            <w:lang w:val="en-US" w:eastAsia="en-US" w:bidi="ar-SA"/>
          </w:rPr>
          <w:t xml:space="preserve">Francis v. INS, </w:t>
        </w:r>
      </w:hyperlink>
      <w:hyperlink r:id="rId43" w:history="1">
        <w:r>
          <w:rPr>
            <w:rFonts w:ascii="arial" w:eastAsia="arial" w:hAnsi="arial" w:cs="arial"/>
            <w:b/>
            <w:i/>
            <w:color w:val="0077CC"/>
            <w:sz w:val="20"/>
            <w:u w:val="single"/>
            <w:shd w:val="clear" w:color="auto" w:fill="FFFFFF"/>
            <w:lang w:val="en-US" w:eastAsia="en-US" w:bidi="ar-SA"/>
          </w:rPr>
          <w:t>532 F.2d 268 (2d Cir. 1976)</w:t>
        </w:r>
      </w:hyperlink>
    </w:p>
    <w:p>
      <w:pPr>
        <w:numPr>
          <w:numId w:val="57"/>
        </w:numPr>
        <w:spacing w:before="240" w:line="260" w:lineRule="atLeast"/>
        <w:jc w:val="both"/>
        <w:rPr>
          <w:rFonts w:ascii="arial" w:eastAsia="arial" w:hAnsi="arial" w:cs="arial"/>
          <w:sz w:val="20"/>
          <w:lang w:val="en-US" w:eastAsia="en-US" w:bidi="ar-SA"/>
        </w:rPr>
      </w:pPr>
      <w:hyperlink r:id="rId44" w:history="1">
        <w:r>
          <w:rPr>
            <w:rFonts w:ascii="arial" w:eastAsia="arial" w:hAnsi="arial" w:cs="arial"/>
            <w:b/>
            <w:i/>
            <w:color w:val="0077CC"/>
            <w:sz w:val="20"/>
            <w:u w:val="single"/>
            <w:shd w:val="clear" w:color="auto" w:fill="FFFFFF"/>
            <w:lang w:val="en-US" w:eastAsia="en-US" w:bidi="ar-SA"/>
          </w:rPr>
          <w:t xml:space="preserve">Demore v. Kim, </w:t>
        </w:r>
      </w:hyperlink>
      <w:hyperlink r:id="rId44" w:history="1">
        <w:r>
          <w:rPr>
            <w:rFonts w:ascii="arial" w:eastAsia="arial" w:hAnsi="arial" w:cs="arial"/>
            <w:b/>
            <w:i/>
            <w:color w:val="0077CC"/>
            <w:sz w:val="20"/>
            <w:u w:val="single"/>
            <w:shd w:val="clear" w:color="auto" w:fill="FFFFFF"/>
            <w:lang w:val="en-US" w:eastAsia="en-US" w:bidi="ar-SA"/>
          </w:rPr>
          <w:t>538 U.S. 510, 123 S. Ct. 1708 (2003)</w:t>
        </w:r>
      </w:hyperlink>
    </w:p>
    <w:p>
      <w:pPr>
        <w:numPr>
          <w:numId w:val="58"/>
        </w:numPr>
        <w:spacing w:before="240" w:line="260" w:lineRule="atLeast"/>
        <w:jc w:val="both"/>
        <w:rPr>
          <w:rFonts w:ascii="arial" w:eastAsia="arial" w:hAnsi="arial" w:cs="arial"/>
          <w:sz w:val="20"/>
          <w:lang w:val="en-US" w:eastAsia="en-US" w:bidi="ar-SA"/>
        </w:rPr>
      </w:pPr>
      <w:hyperlink r:id="rId65" w:history="1">
        <w:r>
          <w:rPr>
            <w:rFonts w:ascii="arial" w:eastAsia="arial" w:hAnsi="arial" w:cs="arial"/>
            <w:b/>
            <w:i/>
            <w:color w:val="0077CC"/>
            <w:sz w:val="20"/>
            <w:u w:val="single"/>
            <w:shd w:val="clear" w:color="auto" w:fill="FFFFFF"/>
            <w:lang w:val="en-US" w:eastAsia="en-US" w:bidi="ar-SA"/>
          </w:rPr>
          <w:t xml:space="preserve">Getachew v. INS, </w:t>
        </w:r>
      </w:hyperlink>
      <w:hyperlink r:id="rId65" w:history="1">
        <w:r>
          <w:rPr>
            <w:rFonts w:ascii="arial" w:eastAsia="arial" w:hAnsi="arial" w:cs="arial"/>
            <w:b/>
            <w:i/>
            <w:color w:val="0077CC"/>
            <w:sz w:val="20"/>
            <w:u w:val="single"/>
            <w:shd w:val="clear" w:color="auto" w:fill="FFFFFF"/>
            <w:lang w:val="en-US" w:eastAsia="en-US" w:bidi="ar-SA"/>
          </w:rPr>
          <w:t>25 F.3d 841, 845 (9</w:t>
        </w:r>
      </w:hyperlink>
      <w:hyperlink r:id="rId65" w:history="1">
        <w:r>
          <w:rPr>
            <w:rFonts w:ascii="arial" w:eastAsia="arial" w:hAnsi="arial" w:cs="arial"/>
            <w:b/>
            <w:i/>
            <w:color w:val="0077CC"/>
            <w:sz w:val="20"/>
            <w:u w:val="single"/>
            <w:shd w:val="clear" w:color="auto" w:fill="FFFFFF"/>
            <w:vertAlign w:val="superscript"/>
            <w:lang w:val="en-US" w:eastAsia="en-US" w:bidi="ar-SA"/>
          </w:rPr>
          <w:t>th</w:t>
        </w:r>
      </w:hyperlink>
      <w:hyperlink r:id="rId65" w:history="1">
        <w:r>
          <w:rPr>
            <w:rFonts w:ascii="arial" w:eastAsia="arial" w:hAnsi="arial" w:cs="arial"/>
            <w:b/>
            <w:i/>
            <w:color w:val="0077CC"/>
            <w:sz w:val="20"/>
            <w:u w:val="single"/>
            <w:shd w:val="clear" w:color="auto" w:fill="FFFFFF"/>
            <w:lang w:val="en-US" w:eastAsia="en-US" w:bidi="ar-SA"/>
          </w:rPr>
          <w:t xml:space="preserve"> Cir. 1994)</w:t>
        </w:r>
      </w:hyperlink>
    </w:p>
    <w:p>
      <w:pPr>
        <w:numPr>
          <w:numId w:val="59"/>
        </w:numPr>
        <w:spacing w:before="240" w:line="260" w:lineRule="atLeast"/>
        <w:jc w:val="both"/>
        <w:rPr>
          <w:rFonts w:ascii="arial" w:eastAsia="arial" w:hAnsi="arial" w:cs="arial"/>
          <w:sz w:val="20"/>
          <w:lang w:val="en-US" w:eastAsia="en-US" w:bidi="ar-SA"/>
        </w:rPr>
      </w:pPr>
      <w:hyperlink r:id="rId66" w:history="1">
        <w:r>
          <w:rPr>
            <w:rFonts w:ascii="arial" w:eastAsia="arial" w:hAnsi="arial" w:cs="arial"/>
            <w:b/>
            <w:i/>
            <w:color w:val="0077CC"/>
            <w:sz w:val="20"/>
            <w:u w:val="single"/>
            <w:shd w:val="clear" w:color="auto" w:fill="FFFFFF"/>
            <w:lang w:val="en-US" w:eastAsia="en-US" w:bidi="ar-SA"/>
          </w:rPr>
          <w:t xml:space="preserve">Castro-Cortez v. INS, </w:t>
        </w:r>
      </w:hyperlink>
      <w:hyperlink r:id="rId66" w:history="1">
        <w:r>
          <w:rPr>
            <w:rFonts w:ascii="arial" w:eastAsia="arial" w:hAnsi="arial" w:cs="arial"/>
            <w:b/>
            <w:i/>
            <w:color w:val="0077CC"/>
            <w:sz w:val="20"/>
            <w:u w:val="single"/>
            <w:shd w:val="clear" w:color="auto" w:fill="FFFFFF"/>
            <w:lang w:val="en-US" w:eastAsia="en-US" w:bidi="ar-SA"/>
          </w:rPr>
          <w:t>239 F.3d 1037, 1049 (9</w:t>
        </w:r>
      </w:hyperlink>
      <w:hyperlink r:id="rId66" w:history="1">
        <w:r>
          <w:rPr>
            <w:rFonts w:ascii="arial" w:eastAsia="arial" w:hAnsi="arial" w:cs="arial"/>
            <w:b/>
            <w:i/>
            <w:color w:val="0077CC"/>
            <w:sz w:val="20"/>
            <w:u w:val="single"/>
            <w:shd w:val="clear" w:color="auto" w:fill="FFFFFF"/>
            <w:vertAlign w:val="superscript"/>
            <w:lang w:val="en-US" w:eastAsia="en-US" w:bidi="ar-SA"/>
          </w:rPr>
          <w:t>th</w:t>
        </w:r>
      </w:hyperlink>
      <w:hyperlink r:id="rId66" w:history="1">
        <w:r>
          <w:rPr>
            <w:rFonts w:ascii="arial" w:eastAsia="arial" w:hAnsi="arial" w:cs="arial"/>
            <w:b/>
            <w:i/>
            <w:color w:val="0077CC"/>
            <w:sz w:val="20"/>
            <w:u w:val="single"/>
            <w:shd w:val="clear" w:color="auto" w:fill="FFFFFF"/>
            <w:lang w:val="en-US" w:eastAsia="en-US" w:bidi="ar-SA"/>
          </w:rPr>
          <w:t xml:space="preserve"> Cir. 2001)</w:t>
        </w:r>
      </w:hyperlink>
    </w:p>
    <w:p>
      <w:pPr>
        <w:numPr>
          <w:numId w:val="60"/>
        </w:numPr>
        <w:spacing w:before="240" w:line="260" w:lineRule="atLeast"/>
        <w:jc w:val="both"/>
        <w:rPr>
          <w:rFonts w:ascii="arial" w:eastAsia="arial" w:hAnsi="arial" w:cs="arial"/>
          <w:sz w:val="20"/>
          <w:lang w:val="en-US" w:eastAsia="en-US" w:bidi="ar-SA"/>
        </w:rPr>
      </w:pPr>
      <w:hyperlink r:id="rId67" w:history="1">
        <w:r>
          <w:rPr>
            <w:rFonts w:ascii="arial" w:eastAsia="arial" w:hAnsi="arial" w:cs="arial"/>
            <w:b/>
            <w:i/>
            <w:color w:val="0077CC"/>
            <w:sz w:val="20"/>
            <w:u w:val="single"/>
            <w:shd w:val="clear" w:color="auto" w:fill="FFFFFF"/>
            <w:lang w:val="en-US" w:eastAsia="en-US" w:bidi="ar-SA"/>
          </w:rPr>
          <w:t xml:space="preserve">Marincas v. Lewis, </w:t>
        </w:r>
      </w:hyperlink>
      <w:hyperlink r:id="rId67" w:history="1">
        <w:r>
          <w:rPr>
            <w:rFonts w:ascii="arial" w:eastAsia="arial" w:hAnsi="arial" w:cs="arial"/>
            <w:b/>
            <w:i/>
            <w:color w:val="0077CC"/>
            <w:sz w:val="20"/>
            <w:u w:val="single"/>
            <w:shd w:val="clear" w:color="auto" w:fill="FFFFFF"/>
            <w:lang w:val="en-US" w:eastAsia="en-US" w:bidi="ar-SA"/>
          </w:rPr>
          <w:t>92 F.3d 195, 203 (3d Cir. 1996)</w:t>
        </w:r>
      </w:hyperlink>
    </w:p>
    <w:p>
      <w:pPr>
        <w:numPr>
          <w:numId w:val="61"/>
        </w:numPr>
        <w:spacing w:before="240" w:line="260" w:lineRule="atLeast"/>
        <w:jc w:val="both"/>
        <w:rPr>
          <w:rFonts w:ascii="arial" w:eastAsia="arial" w:hAnsi="arial" w:cs="arial"/>
          <w:sz w:val="20"/>
          <w:lang w:val="en-US" w:eastAsia="en-US" w:bidi="ar-SA"/>
        </w:rPr>
      </w:pPr>
      <w:hyperlink r:id="rId68" w:history="1">
        <w:r>
          <w:rPr>
            <w:rFonts w:ascii="arial" w:eastAsia="arial" w:hAnsi="arial" w:cs="arial"/>
            <w:b/>
            <w:i/>
            <w:color w:val="0077CC"/>
            <w:sz w:val="20"/>
            <w:u w:val="single"/>
            <w:shd w:val="clear" w:color="auto" w:fill="FFFFFF"/>
            <w:lang w:val="en-US" w:eastAsia="en-US" w:bidi="ar-SA"/>
          </w:rPr>
          <w:t xml:space="preserve">Marshall v. Jerrico, Inc., </w:t>
        </w:r>
      </w:hyperlink>
      <w:hyperlink r:id="rId68" w:history="1">
        <w:r>
          <w:rPr>
            <w:rFonts w:ascii="arial" w:eastAsia="arial" w:hAnsi="arial" w:cs="arial"/>
            <w:b/>
            <w:i/>
            <w:color w:val="0077CC"/>
            <w:sz w:val="20"/>
            <w:u w:val="single"/>
            <w:shd w:val="clear" w:color="auto" w:fill="FFFFFF"/>
            <w:lang w:val="en-US" w:eastAsia="en-US" w:bidi="ar-SA"/>
          </w:rPr>
          <w:t>446 U.S. 238, 243 (1980)</w:t>
        </w:r>
      </w:hyperlink>
    </w:p>
    <w:p>
      <w:pPr>
        <w:numPr>
          <w:numId w:val="62"/>
        </w:numPr>
        <w:spacing w:before="240" w:line="260" w:lineRule="atLeast"/>
        <w:jc w:val="both"/>
        <w:rPr>
          <w:rFonts w:ascii="arial" w:eastAsia="arial" w:hAnsi="arial" w:cs="arial"/>
          <w:sz w:val="20"/>
          <w:lang w:val="en-US" w:eastAsia="en-US" w:bidi="ar-SA"/>
        </w:rPr>
      </w:pPr>
      <w:hyperlink r:id="rId69" w:history="1">
        <w:r>
          <w:rPr>
            <w:rFonts w:ascii="arial" w:eastAsia="arial" w:hAnsi="arial" w:cs="arial"/>
            <w:b/>
            <w:i/>
            <w:color w:val="0077CC"/>
            <w:sz w:val="20"/>
            <w:u w:val="single"/>
            <w:shd w:val="clear" w:color="auto" w:fill="FFFFFF"/>
            <w:lang w:val="en-US" w:eastAsia="en-US" w:bidi="ar-SA"/>
          </w:rPr>
          <w:t xml:space="preserve">Reyes-Melendez v. INS, </w:t>
        </w:r>
      </w:hyperlink>
      <w:hyperlink r:id="rId69" w:history="1">
        <w:r>
          <w:rPr>
            <w:rFonts w:ascii="arial" w:eastAsia="arial" w:hAnsi="arial" w:cs="arial"/>
            <w:b/>
            <w:i/>
            <w:color w:val="0077CC"/>
            <w:sz w:val="20"/>
            <w:u w:val="single"/>
            <w:shd w:val="clear" w:color="auto" w:fill="FFFFFF"/>
            <w:lang w:val="en-US" w:eastAsia="en-US" w:bidi="ar-SA"/>
          </w:rPr>
          <w:t>342 F.3d 1001, 1006 (9</w:t>
        </w:r>
      </w:hyperlink>
      <w:hyperlink r:id="rId69" w:history="1">
        <w:r>
          <w:rPr>
            <w:rFonts w:ascii="arial" w:eastAsia="arial" w:hAnsi="arial" w:cs="arial"/>
            <w:b/>
            <w:i/>
            <w:color w:val="0077CC"/>
            <w:sz w:val="20"/>
            <w:u w:val="single"/>
            <w:shd w:val="clear" w:color="auto" w:fill="FFFFFF"/>
            <w:vertAlign w:val="superscript"/>
            <w:lang w:val="en-US" w:eastAsia="en-US" w:bidi="ar-SA"/>
          </w:rPr>
          <w:t>th</w:t>
        </w:r>
      </w:hyperlink>
      <w:hyperlink r:id="rId69" w:history="1">
        <w:r>
          <w:rPr>
            <w:rFonts w:ascii="arial" w:eastAsia="arial" w:hAnsi="arial" w:cs="arial"/>
            <w:b/>
            <w:i/>
            <w:color w:val="0077CC"/>
            <w:sz w:val="20"/>
            <w:u w:val="single"/>
            <w:shd w:val="clear" w:color="auto" w:fill="FFFFFF"/>
            <w:lang w:val="en-US" w:eastAsia="en-US" w:bidi="ar-SA"/>
          </w:rPr>
          <w:t xml:space="preserve"> Cir. 2003)</w:t>
        </w:r>
      </w:hyperlink>
    </w:p>
    <w:p>
      <w:pPr>
        <w:numPr>
          <w:numId w:val="63"/>
        </w:numPr>
        <w:spacing w:before="240" w:line="260" w:lineRule="atLeast"/>
        <w:jc w:val="both"/>
        <w:rPr>
          <w:rFonts w:ascii="arial" w:eastAsia="arial" w:hAnsi="arial" w:cs="arial"/>
          <w:sz w:val="20"/>
          <w:lang w:val="en-US" w:eastAsia="en-US" w:bidi="ar-SA"/>
        </w:rPr>
      </w:pPr>
      <w:hyperlink r:id="rId70" w:history="1">
        <w:r>
          <w:rPr>
            <w:rFonts w:ascii="arial" w:eastAsia="arial" w:hAnsi="arial" w:cs="arial"/>
            <w:b/>
            <w:i/>
            <w:color w:val="0077CC"/>
            <w:sz w:val="20"/>
            <w:u w:val="single"/>
            <w:shd w:val="clear" w:color="auto" w:fill="FFFFFF"/>
            <w:lang w:val="en-US" w:eastAsia="en-US" w:bidi="ar-SA"/>
          </w:rPr>
          <w:t xml:space="preserve">Sanchez-Cruz v. INS, </w:t>
        </w:r>
      </w:hyperlink>
      <w:hyperlink r:id="rId70" w:history="1">
        <w:r>
          <w:rPr>
            <w:rFonts w:ascii="arial" w:eastAsia="arial" w:hAnsi="arial" w:cs="arial"/>
            <w:b/>
            <w:i/>
            <w:color w:val="0077CC"/>
            <w:sz w:val="20"/>
            <w:u w:val="single"/>
            <w:shd w:val="clear" w:color="auto" w:fill="FFFFFF"/>
            <w:lang w:val="en-US" w:eastAsia="en-US" w:bidi="ar-SA"/>
          </w:rPr>
          <w:t>255 F.3d 775, 779 (9</w:t>
        </w:r>
      </w:hyperlink>
      <w:hyperlink r:id="rId70" w:history="1">
        <w:r>
          <w:rPr>
            <w:rFonts w:ascii="arial" w:eastAsia="arial" w:hAnsi="arial" w:cs="arial"/>
            <w:b/>
            <w:i/>
            <w:color w:val="0077CC"/>
            <w:sz w:val="20"/>
            <w:u w:val="single"/>
            <w:shd w:val="clear" w:color="auto" w:fill="FFFFFF"/>
            <w:vertAlign w:val="superscript"/>
            <w:lang w:val="en-US" w:eastAsia="en-US" w:bidi="ar-SA"/>
          </w:rPr>
          <w:t>th</w:t>
        </w:r>
      </w:hyperlink>
      <w:hyperlink r:id="rId70" w:history="1">
        <w:r>
          <w:rPr>
            <w:rFonts w:ascii="arial" w:eastAsia="arial" w:hAnsi="arial" w:cs="arial"/>
            <w:b/>
            <w:i/>
            <w:color w:val="0077CC"/>
            <w:sz w:val="20"/>
            <w:u w:val="single"/>
            <w:shd w:val="clear" w:color="auto" w:fill="FFFFFF"/>
            <w:lang w:val="en-US" w:eastAsia="en-US" w:bidi="ar-SA"/>
          </w:rPr>
          <w:t xml:space="preserve"> Cir. 2001)</w:t>
        </w:r>
      </w:hyperlink>
    </w:p>
    <w:p>
      <w:pPr>
        <w:numPr>
          <w:numId w:val="64"/>
        </w:numPr>
        <w:spacing w:before="240" w:line="260" w:lineRule="atLeast"/>
        <w:jc w:val="both"/>
        <w:rPr>
          <w:rFonts w:ascii="arial" w:eastAsia="arial" w:hAnsi="arial" w:cs="arial"/>
          <w:sz w:val="20"/>
          <w:lang w:val="en-US" w:eastAsia="en-US" w:bidi="ar-SA"/>
        </w:rPr>
      </w:pPr>
      <w:hyperlink r:id="rId71" w:history="1">
        <w:r>
          <w:rPr>
            <w:rFonts w:ascii="arial" w:eastAsia="arial" w:hAnsi="arial" w:cs="arial"/>
            <w:b/>
            <w:i/>
            <w:color w:val="0077CC"/>
            <w:sz w:val="20"/>
            <w:u w:val="single"/>
            <w:shd w:val="clear" w:color="auto" w:fill="FFFFFF"/>
            <w:lang w:val="en-US" w:eastAsia="en-US" w:bidi="ar-SA"/>
          </w:rPr>
          <w:t xml:space="preserve">Marcello v. Bonds, </w:t>
        </w:r>
      </w:hyperlink>
      <w:hyperlink r:id="rId71" w:history="1">
        <w:r>
          <w:rPr>
            <w:rFonts w:ascii="arial" w:eastAsia="arial" w:hAnsi="arial" w:cs="arial"/>
            <w:b/>
            <w:i/>
            <w:color w:val="0077CC"/>
            <w:sz w:val="20"/>
            <w:u w:val="single"/>
            <w:shd w:val="clear" w:color="auto" w:fill="FFFFFF"/>
            <w:lang w:val="en-US" w:eastAsia="en-US" w:bidi="ar-SA"/>
          </w:rPr>
          <w:t>349 U.S. 302, 307, 75 S. Ct. 757 (1972)</w:t>
        </w:r>
      </w:hyperlink>
    </w:p>
    <w:p>
      <w:pPr>
        <w:numPr>
          <w:numId w:val="65"/>
        </w:numPr>
        <w:spacing w:before="240" w:line="260" w:lineRule="atLeast"/>
        <w:jc w:val="both"/>
        <w:rPr>
          <w:rFonts w:ascii="arial" w:eastAsia="arial" w:hAnsi="arial" w:cs="arial"/>
          <w:sz w:val="20"/>
          <w:lang w:val="en-US" w:eastAsia="en-US" w:bidi="ar-SA"/>
        </w:rPr>
      </w:pPr>
      <w:hyperlink r:id="rId72" w:history="1">
        <w:r>
          <w:rPr>
            <w:rFonts w:ascii="arial" w:eastAsia="arial" w:hAnsi="arial" w:cs="arial"/>
            <w:b/>
            <w:i/>
            <w:color w:val="0077CC"/>
            <w:sz w:val="20"/>
            <w:u w:val="single"/>
            <w:shd w:val="clear" w:color="auto" w:fill="FFFFFF"/>
            <w:lang w:val="en-US" w:eastAsia="en-US" w:bidi="ar-SA"/>
          </w:rPr>
          <w:t xml:space="preserve">Morrisey v. Brewer, </w:t>
        </w:r>
      </w:hyperlink>
      <w:hyperlink r:id="rId72" w:history="1">
        <w:r>
          <w:rPr>
            <w:rFonts w:ascii="arial" w:eastAsia="arial" w:hAnsi="arial" w:cs="arial"/>
            <w:b/>
            <w:i/>
            <w:color w:val="0077CC"/>
            <w:sz w:val="20"/>
            <w:u w:val="single"/>
            <w:shd w:val="clear" w:color="auto" w:fill="FFFFFF"/>
            <w:lang w:val="en-US" w:eastAsia="en-US" w:bidi="ar-SA"/>
          </w:rPr>
          <w:t>408 U.S. 471, 486–7, 92 S. Ct. 2593 (1972)</w:t>
        </w:r>
      </w:hyperlink>
    </w:p>
    <w:p>
      <w:pPr>
        <w:numPr>
          <w:numId w:val="66"/>
        </w:numPr>
        <w:spacing w:before="240" w:line="260" w:lineRule="atLeast"/>
        <w:jc w:val="both"/>
        <w:rPr>
          <w:rFonts w:ascii="arial" w:eastAsia="arial" w:hAnsi="arial" w:cs="arial"/>
          <w:sz w:val="20"/>
          <w:lang w:val="en-US" w:eastAsia="en-US" w:bidi="ar-SA"/>
        </w:rPr>
      </w:pPr>
      <w:hyperlink r:id="rId73" w:history="1">
        <w:r>
          <w:rPr>
            <w:rFonts w:ascii="arial" w:eastAsia="arial" w:hAnsi="arial" w:cs="arial"/>
            <w:b/>
            <w:i/>
            <w:color w:val="0077CC"/>
            <w:sz w:val="20"/>
            <w:u w:val="single"/>
            <w:shd w:val="clear" w:color="auto" w:fill="FFFFFF"/>
            <w:lang w:val="en-US" w:eastAsia="en-US" w:bidi="ar-SA"/>
          </w:rPr>
          <w:t xml:space="preserve">United States v. Garcia-Martinez, </w:t>
        </w:r>
      </w:hyperlink>
      <w:hyperlink r:id="rId73" w:history="1">
        <w:r>
          <w:rPr>
            <w:rFonts w:ascii="arial" w:eastAsia="arial" w:hAnsi="arial" w:cs="arial"/>
            <w:b/>
            <w:i/>
            <w:color w:val="0077CC"/>
            <w:sz w:val="20"/>
            <w:u w:val="single"/>
            <w:shd w:val="clear" w:color="auto" w:fill="FFFFFF"/>
            <w:lang w:val="en-US" w:eastAsia="en-US" w:bidi="ar-SA"/>
          </w:rPr>
          <w:t>228 F.3d 956, 961 (9</w:t>
        </w:r>
      </w:hyperlink>
      <w:hyperlink r:id="rId73" w:history="1">
        <w:r>
          <w:rPr>
            <w:rFonts w:ascii="arial" w:eastAsia="arial" w:hAnsi="arial" w:cs="arial"/>
            <w:b/>
            <w:i/>
            <w:color w:val="0077CC"/>
            <w:sz w:val="20"/>
            <w:u w:val="single"/>
            <w:shd w:val="clear" w:color="auto" w:fill="FFFFFF"/>
            <w:vertAlign w:val="superscript"/>
            <w:lang w:val="en-US" w:eastAsia="en-US" w:bidi="ar-SA"/>
          </w:rPr>
          <w:t>th</w:t>
        </w:r>
      </w:hyperlink>
      <w:hyperlink r:id="rId73" w:history="1">
        <w:r>
          <w:rPr>
            <w:rFonts w:ascii="arial" w:eastAsia="arial" w:hAnsi="arial" w:cs="arial"/>
            <w:b/>
            <w:i/>
            <w:color w:val="0077CC"/>
            <w:sz w:val="20"/>
            <w:u w:val="single"/>
            <w:shd w:val="clear" w:color="auto" w:fill="FFFFFF"/>
            <w:lang w:val="en-US" w:eastAsia="en-US" w:bidi="ar-SA"/>
          </w:rPr>
          <w:t xml:space="preserve"> Cir. 2000)</w:t>
        </w:r>
      </w:hyperlink>
    </w:p>
    <w:p>
      <w:pPr>
        <w:numPr>
          <w:numId w:val="67"/>
        </w:numPr>
        <w:spacing w:before="240" w:line="260" w:lineRule="atLeast"/>
        <w:jc w:val="both"/>
        <w:rPr>
          <w:rFonts w:ascii="arial" w:eastAsia="arial" w:hAnsi="arial" w:cs="arial"/>
          <w:sz w:val="20"/>
          <w:lang w:val="en-US" w:eastAsia="en-US" w:bidi="ar-SA"/>
        </w:rPr>
      </w:pPr>
      <w:hyperlink r:id="rId74" w:history="1">
        <w:r>
          <w:rPr>
            <w:rFonts w:ascii="arial" w:eastAsia="arial" w:hAnsi="arial" w:cs="arial"/>
            <w:b/>
            <w:i/>
            <w:color w:val="0077CC"/>
            <w:sz w:val="20"/>
            <w:u w:val="single"/>
            <w:shd w:val="clear" w:color="auto" w:fill="FFFFFF"/>
            <w:lang w:val="en-US" w:eastAsia="en-US" w:bidi="ar-SA"/>
          </w:rPr>
          <w:t xml:space="preserve">United States v. Karaouni, </w:t>
        </w:r>
      </w:hyperlink>
      <w:hyperlink r:id="rId74" w:history="1">
        <w:r>
          <w:rPr>
            <w:rFonts w:ascii="arial" w:eastAsia="arial" w:hAnsi="arial" w:cs="arial"/>
            <w:b/>
            <w:i/>
            <w:color w:val="0077CC"/>
            <w:sz w:val="20"/>
            <w:u w:val="single"/>
            <w:shd w:val="clear" w:color="auto" w:fill="FFFFFF"/>
            <w:lang w:val="en-US" w:eastAsia="en-US" w:bidi="ar-SA"/>
          </w:rPr>
          <w:t>379 F.3d 1139 (9</w:t>
        </w:r>
      </w:hyperlink>
      <w:hyperlink r:id="rId74" w:history="1">
        <w:r>
          <w:rPr>
            <w:rFonts w:ascii="arial" w:eastAsia="arial" w:hAnsi="arial" w:cs="arial"/>
            <w:b/>
            <w:i/>
            <w:color w:val="0077CC"/>
            <w:sz w:val="20"/>
            <w:u w:val="single"/>
            <w:shd w:val="clear" w:color="auto" w:fill="FFFFFF"/>
            <w:vertAlign w:val="superscript"/>
            <w:lang w:val="en-US" w:eastAsia="en-US" w:bidi="ar-SA"/>
          </w:rPr>
          <w:t>th</w:t>
        </w:r>
      </w:hyperlink>
      <w:hyperlink r:id="rId74" w:history="1">
        <w:r>
          <w:rPr>
            <w:rFonts w:ascii="arial" w:eastAsia="arial" w:hAnsi="arial" w:cs="arial"/>
            <w:b/>
            <w:i/>
            <w:color w:val="0077CC"/>
            <w:sz w:val="20"/>
            <w:u w:val="single"/>
            <w:shd w:val="clear" w:color="auto" w:fill="FFFFFF"/>
            <w:lang w:val="en-US" w:eastAsia="en-US" w:bidi="ar-SA"/>
          </w:rPr>
          <w:t xml:space="preserve"> Cir. 2004)</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Treatises</w:t>
      </w:r>
    </w:p>
    <w:p>
      <w:pPr>
        <w:numPr>
          <w:numId w:val="6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Civil Procedure</w:t>
      </w:r>
    </w:p>
    <w:p>
      <w:pPr>
        <w:numPr>
          <w:numId w:val="69"/>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 discussion of writ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see </w:t>
      </w:r>
      <w:hyperlink r:id="rId75" w:history="1">
        <w:r>
          <w:rPr>
            <w:rFonts w:ascii="arial" w:eastAsia="arial" w:hAnsi="arial" w:cs="arial"/>
            <w:b/>
            <w:i/>
            <w:color w:val="0077CC"/>
            <w:sz w:val="20"/>
            <w:u w:val="single"/>
            <w:shd w:val="clear" w:color="auto" w:fill="FFFFFF"/>
            <w:lang w:val="en-US" w:eastAsia="en-US" w:bidi="ar-SA"/>
          </w:rPr>
          <w:t>Moore's Federal Practice - Civil, Chapter 322</w:t>
        </w:r>
      </w:hyperlink>
    </w:p>
    <w:p>
      <w:pPr>
        <w:numPr>
          <w:numId w:val="7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Immigration</w:t>
      </w:r>
    </w:p>
    <w:p>
      <w:pPr>
        <w:numPr>
          <w:numId w:val="71"/>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 a roadmap and practice guide, see </w:t>
      </w:r>
      <w:hyperlink r:id="rId76" w:history="1">
        <w:r>
          <w:rPr>
            <w:rFonts w:ascii="arial" w:eastAsia="arial" w:hAnsi="arial" w:cs="arial"/>
            <w:b/>
            <w:i/>
            <w:color w:val="0077CC"/>
            <w:sz w:val="20"/>
            <w:u w:val="single"/>
            <w:shd w:val="clear" w:color="auto" w:fill="FFFFFF"/>
            <w:lang w:val="en-US" w:eastAsia="en-US" w:bidi="ar-SA"/>
          </w:rPr>
          <w:t>Immigration Law Practice Expediter ``Deportability'' Selection Menu 17.00</w:t>
        </w:r>
      </w:hyperlink>
    </w:p>
    <w:p>
      <w:pPr>
        <w:numPr>
          <w:numId w:val="72"/>
        </w:numPr>
        <w:spacing w:before="24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 discussion of the detention of immigrants, see Gordon, Mailman &amp; Yale-Loehr </w:t>
      </w:r>
      <w:hyperlink r:id="rId77" w:history="1">
        <w:r>
          <w:rPr>
            <w:rFonts w:ascii="arial" w:eastAsia="arial" w:hAnsi="arial" w:cs="arial"/>
            <w:b/>
            <w:i/>
            <w:color w:val="0077CC"/>
            <w:sz w:val="20"/>
            <w:u w:val="single"/>
            <w:shd w:val="clear" w:color="auto" w:fill="FFFFFF"/>
            <w:lang w:val="en-US" w:eastAsia="en-US" w:bidi="ar-SA"/>
          </w:rPr>
          <w:t>Immigration Law and Procedure, Chapter 108</w:t>
        </w:r>
      </w:hyperlink>
    </w:p>
    <w:p>
      <w:pPr>
        <w:rPr>
          <w:rFonts w:ascii="arial" w:eastAsia="arial" w:hAnsi="arial" w:cs="arial"/>
          <w:sz w:val="20"/>
          <w:lang w:val="en-US" w:eastAsia="en-US" w:bidi="ar-SA"/>
        </w:rPr>
      </w:pPr>
      <w:bookmarkStart w:id="3" w:name="Bookmark_TAAC"/>
      <w:bookmarkEnd w:id="3"/>
      <w:bookmarkStart w:id="4" w:name="Bookmark__2"/>
      <w:bookmarkEnd w:id="4"/>
    </w:p>
    <w:p>
      <w:pPr>
        <w:numPr>
          <w:numId w:val="7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Form 13, Memorandum in Support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Petition</w:t>
      </w:r>
    </w:p>
    <w:p>
      <w:pPr>
        <w:rPr>
          <w:rFonts w:ascii="arial" w:eastAsia="arial" w:hAnsi="arial" w:cs="arial"/>
          <w:sz w:val="20"/>
          <w:lang w:val="en-US" w:eastAsia="en-US" w:bidi="ar-SA"/>
        </w:rPr>
      </w:pPr>
      <w:bookmarkStart w:id="5" w:name="Bookmark_TAACAAB"/>
      <w:bookmarkEnd w:id="5"/>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Form 13 Memorandum in Support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Petition</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 xml:space="preserve">XXXXXXXX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 xml:space="preserve">[Address]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Attorneys for Petitioner</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A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 xml:space="preserve">a.k.a Mr. B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UNITED STATES DISTRICT COURT FOR THE DISTRICT OF [district court for where you are detained]</w:t>
      </w:r>
    </w:p>
    <w:p>
      <w:pPr>
        <w:spacing w:line="100" w:lineRule="exact"/>
        <w:rPr>
          <w:rFonts w:ascii="arial" w:eastAsia="arial" w:hAnsi="arial" w:cs="arial"/>
          <w:sz w:val="20"/>
          <w:lang w:val="en-US" w:eastAsia="en-US" w:bidi="ar-SA"/>
        </w:rPr>
      </w:pPr>
    </w:p>
    <w:tbl>
      <w:tblPr>
        <w:tblStyle w:val="TableNormal"/>
        <w:tblW w:w="5000" w:type="pct"/>
        <w:tblLayout w:type="fixed"/>
        <w:tblCellMar>
          <w:left w:w="108" w:type="dxa"/>
          <w:right w:w="108" w:type="dxa"/>
        </w:tblCellMar>
      </w:tblPr>
      <w:tblGrid>
        <w:gridCol w:w="5224"/>
        <w:gridCol w:w="5224"/>
      </w:tblGrid>
      <w:tr>
        <w:tblPrEx>
          <w:tblW w:w="5000" w:type="pct"/>
          <w:tblLayout w:type="fixed"/>
          <w:tblCellMar>
            <w:left w:w="108" w:type="dxa"/>
            <w:right w:w="108" w:type="dxa"/>
          </w:tblCellMar>
        </w:tblPrEx>
        <w:tc>
          <w:tcPr>
            <w:tcW w:w="2500" w:type="pct"/>
            <w:tcBorders>
              <w:top w:val="single" w:sz="8" w:space="0" w:color="auto"/>
              <w:left w:val="none" w:sz="0" w:space="0" w:color="auto"/>
              <w:bottom w:val="single" w:sz="8" w:space="0" w:color="auto"/>
              <w:right w:val="single" w:sz="8" w:space="0" w:color="auto"/>
              <w:tl2br w:val="none" w:sz="0" w:space="0" w:color="auto"/>
              <w:tr2bl w:val="none" w:sz="0" w:space="0" w:color="auto"/>
            </w:tcBorders>
            <w:tcMar>
              <w:top w:w="100" w:type="dxa"/>
              <w:left w:w="100" w:type="dxa"/>
              <w:bottom w:w="100" w:type="dxa"/>
              <w:right w:w="100" w:type="dxa"/>
            </w:tcMar>
            <w:vAlign w:val="center"/>
          </w:tcPr>
          <w:p>
            <w:pPr>
              <w:spacing w:before="120" w:line="260" w:lineRule="atLeast"/>
              <w:rPr>
                <w:rFonts w:ascii="arial" w:eastAsia="arial" w:hAnsi="arial" w:cs="arial"/>
                <w:sz w:val="20"/>
                <w:lang w:val="en-US" w:eastAsia="en-US" w:bidi="ar-SA"/>
              </w:rPr>
            </w:pPr>
            <w:r>
              <w:rPr>
                <w:rFonts w:ascii="arial" w:eastAsia="arial" w:hAnsi="arial" w:cs="arial"/>
                <w:color w:val="000000"/>
                <w:sz w:val="20"/>
                <w:lang w:val="en-US" w:eastAsia="en-US" w:bidi="ar-SA"/>
              </w:rPr>
              <w:t>Mr. A</w:t>
            </w:r>
          </w:p>
          <w:p>
            <w:p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w:t>
            </w:r>
          </w:p>
          <w:p>
            <w:pPr>
              <w:spacing w:before="120" w:line="260" w:lineRule="atLeast"/>
              <w:jc w:val="right"/>
              <w:rPr>
                <w:rFonts w:ascii="arial" w:eastAsia="arial" w:hAnsi="arial" w:cs="arial"/>
                <w:sz w:val="20"/>
                <w:lang w:val="en-US" w:eastAsia="en-US" w:bidi="ar-SA"/>
              </w:rPr>
            </w:pPr>
            <w:r>
              <w:rPr>
                <w:rFonts w:ascii="arial" w:eastAsia="arial" w:hAnsi="arial" w:cs="arial"/>
                <w:color w:val="000000"/>
                <w:sz w:val="18"/>
                <w:lang w:val="en-US" w:eastAsia="en-US" w:bidi="ar-SA"/>
              </w:rPr>
              <w:t>Petitioner,</w:t>
            </w:r>
          </w:p>
          <w:p>
            <w:pPr>
              <w:spacing w:before="120" w:line="260" w:lineRule="atLeast"/>
              <w:jc w:val="center"/>
              <w:rPr>
                <w:rFonts w:ascii="arial" w:eastAsia="arial" w:hAnsi="arial" w:cs="arial"/>
                <w:sz w:val="20"/>
                <w:lang w:val="en-US" w:eastAsia="en-US" w:bidi="ar-SA"/>
              </w:rPr>
            </w:pPr>
            <w:r>
              <w:rPr>
                <w:rFonts w:ascii="arial" w:eastAsia="arial" w:hAnsi="arial" w:cs="arial"/>
                <w:color w:val="000000"/>
                <w:sz w:val="18"/>
                <w:lang w:val="en-US" w:eastAsia="en-US" w:bidi="ar-SA"/>
              </w:rPr>
              <w:t>v.</w:t>
            </w:r>
          </w:p>
          <w:p>
            <w:pPr>
              <w:spacing w:before="120" w:line="260" w:lineRule="atLeast"/>
              <w:rPr>
                <w:rFonts w:ascii="arial" w:eastAsia="arial" w:hAnsi="arial" w:cs="arial"/>
                <w:sz w:val="20"/>
                <w:lang w:val="en-US" w:eastAsia="en-US" w:bidi="ar-SA"/>
              </w:rPr>
            </w:pPr>
            <w:r>
              <w:rPr>
                <w:rFonts w:ascii="arial" w:eastAsia="arial" w:hAnsi="arial" w:cs="arial"/>
                <w:color w:val="000000"/>
                <w:sz w:val="20"/>
                <w:lang w:val="en-US" w:eastAsia="en-US" w:bidi="ar-SA"/>
              </w:rPr>
              <w:t>Michael CHERTOFF, in his Official Capacity, Secretary, Department of Homeland Security; Alberto GONZALES, in his Official Capacity, Attorney General, Department of Justice; Nancy ALCANTAR, in her Official Capacity, Field Office Director, San Francisco, California, U.S. Immigration and Customs Enforcement; Edward FLORES, Chief of Corrections, Santa Clara CountyDepartment of Corrections; and Toby WONG, Correctional Captain, Santa Clara County Department of Corrections</w:t>
            </w:r>
          </w:p>
          <w:p>
            <w:p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w:t>
            </w:r>
          </w:p>
          <w:p>
            <w:pPr>
              <w:spacing w:before="120" w:line="260" w:lineRule="atLeast"/>
              <w:jc w:val="right"/>
              <w:rPr>
                <w:rFonts w:ascii="arial" w:eastAsia="arial" w:hAnsi="arial" w:cs="arial"/>
                <w:sz w:val="20"/>
                <w:lang w:val="en-US" w:eastAsia="en-US" w:bidi="ar-SA"/>
              </w:rPr>
            </w:pPr>
            <w:r>
              <w:rPr>
                <w:rFonts w:ascii="arial" w:eastAsia="arial" w:hAnsi="arial" w:cs="arial"/>
                <w:color w:val="000000"/>
                <w:sz w:val="18"/>
                <w:lang w:val="en-US" w:eastAsia="en-US" w:bidi="ar-SA"/>
              </w:rPr>
              <w:t>Respondents.</w:t>
            </w:r>
          </w:p>
        </w:tc>
        <w:tc>
          <w:tcPr>
            <w:tcW w:w="2500" w:type="pct"/>
          </w:tcPr>
          <w:p>
            <w:pPr>
              <w:spacing w:before="120" w:line="260" w:lineRule="atLeast"/>
              <w:rPr>
                <w:rFonts w:ascii="arial" w:eastAsia="arial" w:hAnsi="arial" w:cs="arial"/>
                <w:sz w:val="20"/>
                <w:lang w:val="en-US" w:eastAsia="en-US" w:bidi="ar-SA"/>
              </w:rPr>
            </w:pPr>
            <w:r>
              <w:rPr>
                <w:rFonts w:ascii="arial" w:eastAsia="arial" w:hAnsi="arial" w:cs="arial"/>
                <w:color w:val="000000"/>
                <w:sz w:val="20"/>
                <w:lang w:val="en-US" w:eastAsia="en-US" w:bidi="ar-SA"/>
              </w:rPr>
              <w:t>Case No. X XX XXXX XXX</w:t>
            </w:r>
          </w:p>
          <w:p>
            <w:pPr>
              <w:rPr>
                <w:rFonts w:ascii="arial" w:eastAsia="arial" w:hAnsi="arial" w:cs="arial"/>
                <w:sz w:val="20"/>
                <w:lang w:val="en-US" w:eastAsia="en-US" w:bidi="ar-SA"/>
              </w:rPr>
            </w:pPr>
          </w:p>
        </w:tc>
      </w:tr>
    </w:tbl>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PETITIONER'S POINTS AND AUTHORITIES IN SUPPORT OF PETITION FOR WRIT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IMMIGRATION CASE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DHS No. X XXX-XXX-XXX</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 INTRODUCTION</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 (a.k.a Mr. B) has been in the United States for over ten years. He has been in the custody of the Department of Homeland Security (``DHS'') since [date].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 is married to a United States citizen, and they have a U.S. citizen daughter together who will turn two years old on [date].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sole reason that Mr. A is detained is because he traveled on ``advance parole'' to visit his ailing mother after he filed an application for adjustment of status based on his marriage to his former wife. According to Respondents, his travel on advance parole rendered him an ``arriving alien.'' The Board of Immigration Appeals (``BIA'') affirmed the result reached by the immigration judge and concluded that Mr. A is an arriving alien and ineligible for a bond hearing or bond before the immigration judge. See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See Declaration of Ms. S in Support of Petition fro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 Dec.'') at Exhibits (``Exhs.'') K and N. In addition, DHS denied Mr. A ``parole,'' </w:t>
      </w:r>
      <w:hyperlink r:id="rId25"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1182(d)(5)</w:t>
        </w:r>
      </w:hyperlink>
      <w:r>
        <w:rPr>
          <w:rFonts w:ascii="arial" w:eastAsia="arial" w:hAnsi="arial" w:cs="arial"/>
          <w:color w:val="000000"/>
          <w:sz w:val="20"/>
          <w:lang w:val="en-US" w:eastAsia="en-US" w:bidi="ar-SA"/>
        </w:rPr>
        <w:t>. Id. at Exh. L. He therefore remains in custody while his removal case is pending.</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the Court should conclude that Mr. A should be released from custody because there is no compelling government interest or a special justification for Petitioner's continued confinement. </w:t>
      </w:r>
      <w:hyperlink r:id="rId38" w:history="1">
        <w:r>
          <w:rPr>
            <w:rFonts w:ascii="arial" w:eastAsia="arial" w:hAnsi="arial" w:cs="arial"/>
            <w:i/>
            <w:color w:val="0077CC"/>
            <w:sz w:val="20"/>
            <w:u w:val="single"/>
            <w:shd w:val="clear" w:color="auto" w:fill="FFFFFF"/>
            <w:lang w:val="en-US" w:eastAsia="en-US" w:bidi="ar-SA"/>
          </w:rPr>
          <w:t>Zadvydas v. Davis, 533 U.S. 678, 690, 121 S. Ct. 2491, 2499 (2001)</w:t>
        </w:r>
      </w:hyperlink>
      <w:r>
        <w:rPr>
          <w:rFonts w:ascii="arial" w:eastAsia="arial" w:hAnsi="arial" w:cs="arial"/>
          <w:color w:val="000000"/>
          <w:sz w:val="20"/>
          <w:lang w:val="en-US" w:eastAsia="en-US" w:bidi="ar-SA"/>
        </w:rPr>
        <w:t xml:space="preserve">; </w:t>
      </w:r>
      <w:hyperlink r:id="rId39" w:history="1">
        <w:r>
          <w:rPr>
            <w:rFonts w:ascii="arial" w:eastAsia="arial" w:hAnsi="arial" w:cs="arial"/>
            <w:i/>
            <w:color w:val="0077CC"/>
            <w:sz w:val="20"/>
            <w:u w:val="single"/>
            <w:shd w:val="clear" w:color="auto" w:fill="FFFFFF"/>
            <w:lang w:val="en-US" w:eastAsia="en-US" w:bidi="ar-SA"/>
          </w:rPr>
          <w:t>Zavala v. Ridge, 310 F. Supp. 2d 1071 (N.D. Cal. 2004)</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the Court declines to immediately release Mr. A, then it should conclude that the United States Constitution requires that he be provided a bond hearing and is eligible for release on bond if the immigration judge concludes that he is not a danger to others or a flight risk. Mr. A was never notified of the consequences of his travel on ``advance parole'' in relation to his custody status. He was informed that he may be placed into removal proceedings if his application for adjustment of status was denied, but was never informed that he would have to fight his removal case in custody, unless he met the high standards for parole, which consist of demonstrating that urgent humanitarian reasons or significant public benefit warrant release. </w:t>
      </w:r>
      <w:hyperlink r:id="rId25"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1182(d)(5)</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Had he known this, he would not have traveled. ST Dec. at Exh. D. The failure to properly notify Mr. A of the consequences of his travel on advance parole constitutes a procedural due process violation. See </w:t>
      </w:r>
      <w:hyperlink r:id="rId40" w:history="1">
        <w:r>
          <w:rPr>
            <w:rFonts w:ascii="arial" w:eastAsia="arial" w:hAnsi="arial" w:cs="arial"/>
            <w:i/>
            <w:color w:val="0077CC"/>
            <w:sz w:val="20"/>
            <w:u w:val="single"/>
            <w:shd w:val="clear" w:color="auto" w:fill="FFFFFF"/>
            <w:lang w:val="en-US" w:eastAsia="en-US" w:bidi="ar-SA"/>
          </w:rPr>
          <w:t>Navarro-Aispura v. INS, 53 F. 3d 233 (9th Cir. 1995)</w:t>
        </w:r>
      </w:hyperlink>
      <w:r>
        <w:rPr>
          <w:rFonts w:ascii="arial" w:eastAsia="arial" w:hAnsi="arial" w:cs="arial"/>
          <w:color w:val="000000"/>
          <w:sz w:val="20"/>
          <w:lang w:val="en-US" w:eastAsia="en-US" w:bidi="ar-SA"/>
        </w:rPr>
        <w:t xml:space="preserve">; </w:t>
      </w:r>
      <w:hyperlink r:id="rId41" w:history="1">
        <w:r>
          <w:rPr>
            <w:rFonts w:ascii="arial" w:eastAsia="arial" w:hAnsi="arial" w:cs="arial"/>
            <w:i/>
            <w:color w:val="0077CC"/>
            <w:sz w:val="20"/>
            <w:u w:val="single"/>
            <w:shd w:val="clear" w:color="auto" w:fill="FFFFFF"/>
            <w:lang w:val="en-US" w:eastAsia="en-US" w:bidi="ar-SA"/>
          </w:rPr>
          <w:t>Martinez-De Bojorquez v. Ashcroft, 365 F. 3d 800 (9th Cir. 2004)</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addition, even if the Court concludes that Mr. A was given proper notice of those consequences when he traveled, the regulation at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is unconstitutional as applied to Mr. A, an individual who traveled on advance parole. First, it violates Equal Protection because there is no rational basis for proving a bond hearing and the substantive right to release on bond to an applicant for adjustment of status who has not traveled, while denying those same rights to an individual who left the U.S. for a short visit to see his mother who suffered from heart disease and who was in the intensive care unit. ST Dec. at Exh.D. The point of advance parole is to preserve an application to permanently reside in the United States and to allow a means of returning to the U.S. after travel.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212.5(f)</w:t>
        </w:r>
      </w:hyperlink>
      <w:r>
        <w:rPr>
          <w:rFonts w:ascii="arial" w:eastAsia="arial" w:hAnsi="arial" w:cs="arial"/>
          <w:color w:val="000000"/>
          <w:sz w:val="20"/>
          <w:lang w:val="en-US" w:eastAsia="en-US" w:bidi="ar-SA"/>
        </w:rPr>
        <w:t xml:space="preserve">; </w:t>
      </w:r>
      <w:hyperlink r:id="rId33"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245.2(a)(4)(ii)</w:t>
        </w:r>
      </w:hyperlink>
      <w:r>
        <w:rPr>
          <w:rFonts w:ascii="arial" w:eastAsia="arial" w:hAnsi="arial" w:cs="arial"/>
          <w:color w:val="000000"/>
          <w:sz w:val="20"/>
          <w:lang w:val="en-US" w:eastAsia="en-US" w:bidi="ar-SA"/>
        </w:rPr>
        <w:t xml:space="preserve">. There is no rational basis to deny these individuals bond upon their return to the U.S. See </w:t>
      </w:r>
      <w:hyperlink r:id="rId42" w:history="1">
        <w:r>
          <w:rPr>
            <w:rFonts w:ascii="arial" w:eastAsia="arial" w:hAnsi="arial" w:cs="arial"/>
            <w:i/>
            <w:color w:val="0077CC"/>
            <w:sz w:val="20"/>
            <w:u w:val="single"/>
            <w:shd w:val="clear" w:color="auto" w:fill="FFFFFF"/>
            <w:lang w:val="en-US" w:eastAsia="en-US" w:bidi="ar-SA"/>
          </w:rPr>
          <w:t>Cordes v. Gonzales, 421 F.3d 889 (9th Cir. 2005)</w:t>
        </w:r>
      </w:hyperlink>
      <w:r>
        <w:rPr>
          <w:rFonts w:ascii="arial" w:eastAsia="arial" w:hAnsi="arial" w:cs="arial"/>
          <w:color w:val="000000"/>
          <w:sz w:val="20"/>
          <w:lang w:val="en-US" w:eastAsia="en-US" w:bidi="ar-SA"/>
        </w:rPr>
        <w:t xml:space="preserve">; </w:t>
      </w:r>
      <w:hyperlink r:id="rId43" w:history="1">
        <w:r>
          <w:rPr>
            <w:rFonts w:ascii="arial" w:eastAsia="arial" w:hAnsi="arial" w:cs="arial"/>
            <w:i/>
            <w:color w:val="0077CC"/>
            <w:sz w:val="20"/>
            <w:u w:val="single"/>
            <w:shd w:val="clear" w:color="auto" w:fill="FFFFFF"/>
            <w:lang w:val="en-US" w:eastAsia="en-US" w:bidi="ar-SA"/>
          </w:rPr>
          <w:t>Francis v. INS, 532 F.2d 268 (2nd Cir. 1976)</w:t>
        </w:r>
      </w:hyperlink>
      <w:r>
        <w:rPr>
          <w:rFonts w:ascii="arial" w:eastAsia="arial" w:hAnsi="arial" w:cs="arial"/>
          <w:color w:val="000000"/>
          <w:sz w:val="20"/>
          <w:lang w:val="en-US" w:eastAsia="en-US" w:bidi="ar-SA"/>
        </w:rPr>
        <w:t xml:space="preserve">. In addition, the application of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is unconstitutional as applied to individuals, like Mr. A, who traveled on advance parole. There is no basis to believe that these individuals are dangers to others or flight risks, as the sole purpose of traveling on advance parole was to be able to return to the U.S. to apply for permanent residency. In </w:t>
      </w:r>
      <w:hyperlink r:id="rId44" w:history="1">
        <w:r>
          <w:rPr>
            <w:rFonts w:ascii="arial" w:eastAsia="arial" w:hAnsi="arial" w:cs="arial"/>
            <w:i/>
            <w:color w:val="0077CC"/>
            <w:sz w:val="20"/>
            <w:u w:val="single"/>
            <w:shd w:val="clear" w:color="auto" w:fill="FFFFFF"/>
            <w:lang w:val="en-US" w:eastAsia="en-US" w:bidi="ar-SA"/>
          </w:rPr>
          <w:t>Demore v. Kim, 538 U.S. 510, 123 S. Ct. 1708 (2003)</w:t>
        </w:r>
      </w:hyperlink>
      <w:r>
        <w:rPr>
          <w:rFonts w:ascii="arial" w:eastAsia="arial" w:hAnsi="arial" w:cs="arial"/>
          <w:color w:val="000000"/>
          <w:sz w:val="20"/>
          <w:lang w:val="en-US" w:eastAsia="en-US" w:bidi="ar-SA"/>
        </w:rPr>
        <w:t xml:space="preserve">, the Supreme Court held that individuals deportable for criminal convictions could be detained pursuant to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1226(c)</w:t>
        </w:r>
      </w:hyperlink>
      <w:r>
        <w:rPr>
          <w:rFonts w:ascii="arial" w:eastAsia="arial" w:hAnsi="arial" w:cs="arial"/>
          <w:color w:val="000000"/>
          <w:sz w:val="20"/>
          <w:lang w:val="en-US" w:eastAsia="en-US" w:bidi="ar-SA"/>
        </w:rPr>
        <w:t xml:space="preserve"> without a bond hearing because they were presumed to be a danger to others and flight risk. In contrast, there is absolutely no basis to conclude that individuals like Mr. A, who traveled on advanced parole, should be similarly presumed to be such a danger or flight risk.</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Finally, the regulation at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which deprives arriving aliens of a bond hearing, is unconstitutional. See </w:t>
      </w:r>
      <w:hyperlink r:id="rId45" w:history="1">
        <w:r>
          <w:rPr>
            <w:rFonts w:ascii="arial" w:eastAsia="arial" w:hAnsi="arial" w:cs="arial"/>
            <w:i/>
            <w:color w:val="0077CC"/>
            <w:sz w:val="20"/>
            <w:u w:val="single"/>
            <w:shd w:val="clear" w:color="auto" w:fill="FFFFFF"/>
            <w:lang w:val="en-US" w:eastAsia="en-US" w:bidi="ar-SA"/>
          </w:rPr>
          <w:t>Mathews v. Eldridge, 424 U.S. 319, 334–35, 96 S. Ct. 893, 902–3 (1976)</w:t>
        </w:r>
      </w:hyperlink>
      <w:r>
        <w:rPr>
          <w:rFonts w:ascii="arial" w:eastAsia="arial" w:hAnsi="arial" w:cs="arial"/>
          <w:color w:val="000000"/>
          <w:sz w:val="20"/>
          <w:lang w:val="en-US" w:eastAsia="en-US" w:bidi="ar-SA"/>
        </w:rPr>
        <w:t>. The interest affected 1) invokes the fundamental right to be free from official restraint; 2) there is a serious risk of erroneous deprivation because there is no opportunity to present witnesses or evidence by the detainee and no neutral adjudicator; and 3) the burden to the government of permitting a hearing before the immigration judge pales in comparison to the irreversible effect of forcing Mr. A to remain in detention while he fights his case.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 STATEMENT OF THE FACTS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r. A arrived in the United States as a student from [Name of country] in [year] and has resided in the United States since that time. In June 1997 he filed an application to adjust his status to that of a lawful permanent resident based on an approved I-130 visa petition that was filed by his first wife, a United States Citizen. While his application was pending, Mr. A learned that his mother was ill with heart disease, and was in the Intensive Care Unit. ST. Dec. at Exh. D. He decided to see her and to help her recover. Id. He therefore applied for ``advance parole'' so that he would not abandon his application and would be able to return to the U.S.</w:t>
      </w:r>
      <w:r>
        <w:rPr>
          <w:rFonts w:ascii="arial" w:eastAsia="arial" w:hAnsi="arial" w:cs="arial"/>
          <w:sz w:val="20"/>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Id. at Exhs. D and B. Mr. A left the U.S. in 1997 and in 1998, both times on advance parole.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Id. The advance parole documents informed Mr. A that he may be subject to removal proceedings if his application for adjustment of status is denied, and may be found inadmissible for being unlawfully present in the United States. ST. Dec. at Exh. B. At no time, either orally or in writing, was Mr. A advised that he would be ineligible for a bond hearing, or release on bond, if he returned to the United States as a ``parolee.'' His last return to the United States was in [Month, Year], where he was identified by the former Immigration and Naturalization Service (``legacy INS'') as a ``parolee.''</w:t>
      </w:r>
      <w:r>
        <w:rPr>
          <w:rFonts w:ascii="arial" w:eastAsia="arial" w:hAnsi="arial" w:cs="arial"/>
          <w:sz w:val="20"/>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Id. at Exh. B.</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 divorced his first wife in [Month, Year]. Two years later he married his current wife Mrs. A, a United States citizen, and they gave birth to a daughter [name of daughter] on [date of birth]. Id. at Exh. J pages 1–5. They live together in [place of residence]. Id. At Exh. E. Mr. A has been name of daugher's primary caregiver as his wife is the main breadwinner for the family, working at two jobs as an Occupational Therapist. Id. Ms. A and [name of daughter] depend upon Mr. A in order to survive both financially and emotionally and his absence from their lives has been devastating. Mr. A's father and mother-in-law, and sister-in-law also live nearby. Id. at Exh. J pages 7–9. However, their presence has not diminished the emotional and financial hardship that Mrs. A and [name of daughter], now almost two years old, face. Id. at Exh. E. As Mr. A's wife states, Every morning since Mr. A's arrest, I have forced myself out of bed by telling myself that I just have to get through that day, work as many hours as I can to pay for Mr. A's legal bills and to support [name of daughter], and get home in one piece. I remind myself that I need to be as strong and as consistent as I can for [name of daughter], and that if I keep living like this, one day at a time, Mr. A will come home again. …</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A's absence has robbed me of many precious things. I have lost my life partner, my primary emotional support and my co-parent. I have lost the love of my life. I have lost the father of my daughter, my confidant and my best friend. I have lost my sense of family, stability and security. Now, I have been robbed of my health. And [name of daughter] has lost her father.</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Above all, that it what hurts the most.</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III. STATEMENT OF THE CASE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On [date], seven years after Mr. A's last entry into the United States, the San Francisco office of DHS, U.S. Immigration and Customs Enforcement, issued a ``Notice to Appear'' against Mr. A, charging him with removability, and also issued a warrant for Mr. A's arrest. Id. at Exh. G. Mr. A was served with the Notice to Appear and warrant on July, 12, 2005. Id. On that same date, in [place], Mr. A was served with a decision that he would not be released from DHS custody. Id. at Exh. H. Mr. A requested review of that custody decision before an immigration judge. Id.</w:t>
      </w:r>
      <w:r>
        <w:rPr>
          <w:rFonts w:ascii="arial" w:eastAsia="arial" w:hAnsi="arial" w:cs="arial"/>
          <w:sz w:val="20"/>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Mr. A was moved immediately to [name of state] by DHS.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On [date], Mrs. A filed an I-130 visa petition for Mr. A in [city, state] with the U.S. Citizenship and Immigration Services. Id. at Exh. I.</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[date], the immigration judge held a bond redetermination hearing where Mr. A challenged the allegation that he was properly charged as an ``arriving alien'' and therefore ineligible for bond. The immigration judge denied Mr. A's request for release from custody, ruling that Mr. A was an ``arriving alien'' and ineligible for bond. See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ST Dec. at Exh. K. The government filed no opposition to Mr. A's appeal. ST Dec. at ¶ 11.</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In addition to pursuing bond before the immigration judge, Mr. A also submitted several requests for release on parole to the DHS. Id. at ¶12. On [date] the DHS issued a decision denying Mr. A's request for release on parole. Id. at Exh. L.</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While Mr. A's removal case was pending before the immigration judge and his bond case was pending before the BIA, on [date] he was transferred by DHS from [place] to the [name of district court]. He was housed at the [name of jail]. ST Dec. at ¶ 13.</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On [date], the BIA dismissed Mr. A's appeal of the denial of the IJ's custody decision. ST Dec. at Exh. N.</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[date], Mr. A was taken to the DHS office at [address]. He filed his petition for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on that day. Id. at ¶ 15. He is now in [present location].</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A's removal hearing remains pending. Mr. A intends to apply for adjustment of status based on his marriage to his United States citizen wife once the I-130 visa petition she filed is approved, as well as for asylum (</w:t>
      </w:r>
      <w:hyperlink r:id="rId27"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1158</w:t>
        </w:r>
      </w:hyperlink>
      <w:r>
        <w:rPr>
          <w:rFonts w:ascii="arial" w:eastAsia="arial" w:hAnsi="arial" w:cs="arial"/>
          <w:color w:val="000000"/>
          <w:sz w:val="20"/>
          <w:lang w:val="en-US" w:eastAsia="en-US" w:bidi="ar-SA"/>
        </w:rPr>
        <w:t>) and withholding of removal (</w:t>
      </w:r>
      <w:hyperlink r:id="rId29"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1231(b)(3)</w:t>
        </w:r>
      </w:hyperlink>
      <w:r>
        <w:rPr>
          <w:rFonts w:ascii="arial" w:eastAsia="arial" w:hAnsi="arial" w:cs="arial"/>
          <w:color w:val="000000"/>
          <w:sz w:val="20"/>
          <w:lang w:val="en-US" w:eastAsia="en-US" w:bidi="ar-SA"/>
        </w:rPr>
        <w:t>). ST Dec. at ¶ 17.</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IV. BACKGROUND</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Immigration and Nationality Act (``INA'') provides the authority to detain noncitizens. See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w:t>
        </w:r>
      </w:hyperlink>
      <w:r>
        <w:rPr>
          <w:rFonts w:ascii="arial" w:eastAsia="arial" w:hAnsi="arial" w:cs="arial"/>
          <w:color w:val="000000"/>
          <w:sz w:val="20"/>
          <w:lang w:val="en-US" w:eastAsia="en-US" w:bidi="ar-SA"/>
        </w:rPr>
        <w:t xml:space="preserve">. Under the INA, once an individual is arrested, the Attorney General has the authority to either continue to detain the individual, to issue a bond, or to issue conditional parole.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1226(a)(1)</w:t>
        </w:r>
      </w:hyperlink>
      <w:r>
        <w:rPr>
          <w:rFonts w:ascii="arial" w:eastAsia="arial" w:hAnsi="arial" w:cs="arial"/>
          <w:color w:val="000000"/>
          <w:sz w:val="20"/>
          <w:lang w:val="en-US" w:eastAsia="en-US" w:bidi="ar-SA"/>
        </w:rPr>
        <w:t xml:space="preserve"> and </w:t>
      </w:r>
      <w:hyperlink r:id="rId28" w:history="1">
        <w:r>
          <w:rPr>
            <w:rFonts w:ascii="arial" w:eastAsia="arial" w:hAnsi="arial" w:cs="arial"/>
            <w:i/>
            <w:color w:val="0077CC"/>
            <w:sz w:val="20"/>
            <w:u w:val="single"/>
            <w:shd w:val="clear" w:color="auto" w:fill="FFFFFF"/>
            <w:lang w:val="en-US" w:eastAsia="en-US" w:bidi="ar-SA"/>
          </w:rPr>
          <w:t>(2)</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DHS makes the first determination regarding custody. </w:t>
      </w:r>
      <w:hyperlink r:id="rId78"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236.1(d)</w:t>
        </w:r>
      </w:hyperlink>
      <w:r>
        <w:rPr>
          <w:rFonts w:ascii="arial" w:eastAsia="arial" w:hAnsi="arial" w:cs="arial"/>
          <w:color w:val="000000"/>
          <w:sz w:val="20"/>
          <w:lang w:val="en-US" w:eastAsia="en-US" w:bidi="ar-SA"/>
        </w:rPr>
        <w:t>; see e.g. ST Dec. at Exh. H (noting that Mr. A's custody determination was made on July 12, 2005, the day of his arrest). There is no procedural mechanism to present witnesses, or even evidence, in support of release, as the decision to detain is made immediately at the time of arrest. Id.</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that determination, the individual can make a request for a bond redetermination hearing to the immigration judge.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was out of custody for that entire criminal hearing, having been ordered released by the criminal judge on February 25, 2004. ST. Dec. at Exh. J page 13.</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A. Bond Pursuant to </w:t>
      </w:r>
      <w:hyperlink r:id="rId28" w:history="1">
        <w:r>
          <w:rPr>
            <w:rFonts w:ascii="arial" w:eastAsia="arial" w:hAnsi="arial" w:cs="arial"/>
            <w:b/>
            <w:color w:val="000000"/>
            <w:sz w:val="20"/>
            <w:lang w:val="en-US" w:eastAsia="en-US" w:bidi="ar-SA"/>
          </w:rPr>
          <w:t>8 U.S.C. §</w:t>
        </w:r>
        <w:r>
          <w:rPr>
            <w:rFonts w:ascii="arial" w:eastAsia="arial" w:hAnsi="arial" w:cs="arial"/>
            <w:b/>
            <w:color w:val="000000"/>
            <w:sz w:val="20"/>
            <w:lang w:val="en-US" w:eastAsia="en-US" w:bidi="ar-SA"/>
          </w:rPr>
          <w:t> </w:t>
        </w:r>
        <w:r>
          <w:rPr>
            <w:rFonts w:ascii="arial" w:eastAsia="arial" w:hAnsi="arial" w:cs="arial"/>
            <w:b/>
            <w:i/>
            <w:color w:val="0077CC"/>
            <w:sz w:val="20"/>
            <w:u w:val="single"/>
            <w:shd w:val="clear" w:color="auto" w:fill="FFFFFF"/>
            <w:lang w:val="en-US" w:eastAsia="en-US" w:bidi="ar-SA"/>
          </w:rPr>
          <w:t>1226(a)</w:t>
        </w:r>
      </w:hyperlink>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BIA case law has interpreted the bond requirements in accordance with substantive Due Process requirements. In </w:t>
      </w:r>
      <w:hyperlink r:id="rId46" w:history="1">
        <w:r>
          <w:rPr>
            <w:rFonts w:ascii="arial" w:eastAsia="arial" w:hAnsi="arial" w:cs="arial"/>
            <w:i/>
            <w:color w:val="0077CC"/>
            <w:sz w:val="20"/>
            <w:u w:val="single"/>
            <w:shd w:val="clear" w:color="auto" w:fill="FFFFFF"/>
            <w:lang w:val="en-US" w:eastAsia="en-US" w:bidi="ar-SA"/>
          </w:rPr>
          <w:t>Matter of Patel, 15 I. &amp; N. Dec. 666 (BIA 1976)</w:t>
        </w:r>
      </w:hyperlink>
      <w:r>
        <w:rPr>
          <w:rFonts w:ascii="arial" w:eastAsia="arial" w:hAnsi="arial" w:cs="arial"/>
          <w:color w:val="000000"/>
          <w:sz w:val="20"/>
          <w:lang w:val="en-US" w:eastAsia="en-US" w:bidi="ar-SA"/>
        </w:rPr>
        <w:t xml:space="preserve">, the BIA stated that in general, an alien should not be detained or required to post bond except on a finding that he is a threat to the national security, or that he is a poor bail risk. Therefore, assuming that the individual is legally entitled to release on bond, the law requires release if a person is not a danger or a flight risk. </w:t>
      </w:r>
      <w:hyperlink r:id="rId47" w:history="1">
        <w:r>
          <w:rPr>
            <w:rFonts w:ascii="arial" w:eastAsia="arial" w:hAnsi="arial" w:cs="arial"/>
            <w:i/>
            <w:color w:val="0077CC"/>
            <w:sz w:val="20"/>
            <w:u w:val="single"/>
            <w:shd w:val="clear" w:color="auto" w:fill="FFFFFF"/>
            <w:lang w:val="en-US" w:eastAsia="en-US" w:bidi="ar-SA"/>
          </w:rPr>
          <w:t>Matter of Drysdale, 20 I. &amp; N. Dec. 815 (BIA 1994)</w:t>
        </w:r>
      </w:hyperlink>
      <w:r>
        <w:rPr>
          <w:rFonts w:ascii="arial" w:eastAsia="arial" w:hAnsi="arial" w:cs="arial"/>
          <w:color w:val="000000"/>
          <w:sz w:val="20"/>
          <w:lang w:val="en-US" w:eastAsia="en-US" w:bidi="ar-SA"/>
        </w:rPr>
        <w:t xml:space="preserve"> (``Once it is determined that an alien does not present a danger to the community or any bail risk, then no bond should be required.''). Even if an individual is considered to be a flight risk, the immigration judge may set a reasonable bond to ensure that the individual appears at future hearings. Id. In a bond redetermination hearing, a non-citizen has a right to present evidence, present witnesses, and to confront the allegations against him. See e.g. </w:t>
      </w:r>
      <w:hyperlink r:id="rId48" w:history="1">
        <w:r>
          <w:rPr>
            <w:rFonts w:ascii="arial" w:eastAsia="arial" w:hAnsi="arial" w:cs="arial"/>
            <w:i/>
            <w:color w:val="0077CC"/>
            <w:sz w:val="20"/>
            <w:u w:val="single"/>
            <w:shd w:val="clear" w:color="auto" w:fill="FFFFFF"/>
            <w:lang w:val="en-US" w:eastAsia="en-US" w:bidi="ar-SA"/>
          </w:rPr>
          <w:t>Matter of Khalifah, 21 I. &amp; N. Dec. 107 (BIA 1995)</w:t>
        </w:r>
      </w:hyperlink>
      <w:r>
        <w:rPr>
          <w:rFonts w:ascii="arial" w:eastAsia="arial" w:hAnsi="arial" w:cs="arial"/>
          <w:color w:val="000000"/>
          <w:sz w:val="20"/>
          <w:lang w:val="en-US" w:eastAsia="en-US" w:bidi="ar-SA"/>
        </w:rPr>
        <w:t xml:space="preserve">; </w:t>
      </w:r>
      <w:hyperlink r:id="rId49" w:history="1">
        <w:r>
          <w:rPr>
            <w:rFonts w:ascii="arial" w:eastAsia="arial" w:hAnsi="arial" w:cs="arial"/>
            <w:i/>
            <w:color w:val="0077CC"/>
            <w:sz w:val="20"/>
            <w:u w:val="single"/>
            <w:shd w:val="clear" w:color="auto" w:fill="FFFFFF"/>
            <w:lang w:val="en-US" w:eastAsia="en-US" w:bidi="ar-SA"/>
          </w:rPr>
          <w:t>Matter of M-, 4 I. &amp; N. Dec. 626 (BIA 1952)</w:t>
        </w:r>
      </w:hyperlink>
      <w:r>
        <w:rPr>
          <w:rFonts w:ascii="arial" w:eastAsia="arial" w:hAnsi="arial" w:cs="arial"/>
          <w:color w:val="000000"/>
          <w:sz w:val="20"/>
          <w:lang w:val="en-US" w:eastAsia="en-US" w:bidi="ar-SA"/>
        </w:rPr>
        <w:t>. See also ST. Dec. at Exh. O (Declaration of Ilyce Shugall discussing procedures at a bond redetermination hearings before the immigration judge).</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the regulations, certain individuals, however, are ineligible for a bond redetermination hearing. Among these individuals are those deemed ``arriving aliens.''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1003.19(h)(2)(i)(B)</w:t>
        </w:r>
      </w:hyperlink>
      <w:r>
        <w:rPr>
          <w:rFonts w:ascii="arial" w:eastAsia="arial" w:hAnsi="arial" w:cs="arial"/>
          <w:color w:val="000000"/>
          <w:sz w:val="20"/>
          <w:lang w:val="en-US" w:eastAsia="en-US" w:bidi="ar-SA"/>
        </w:rPr>
        <w:t xml:space="preserve">. An ``arriving alien'' is an ``applicant for admission coming or attempting to come into the United States at a port-of-entry.'' </w:t>
      </w:r>
      <w:hyperlink r:id="rId31"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1.1(q)</w:t>
        </w:r>
      </w:hyperlink>
      <w:r>
        <w:rPr>
          <w:rFonts w:ascii="arial" w:eastAsia="arial" w:hAnsi="arial" w:cs="arial"/>
          <w:color w:val="000000"/>
          <w:sz w:val="20"/>
          <w:lang w:val="en-US" w:eastAsia="en-US" w:bidi="ar-SA"/>
        </w:rPr>
        <w:t>.</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B. Parole Pursuant to </w:t>
      </w:r>
      <w:hyperlink r:id="rId25" w:history="1">
        <w:r>
          <w:rPr>
            <w:rFonts w:ascii="arial" w:eastAsia="arial" w:hAnsi="arial" w:cs="arial"/>
            <w:b/>
            <w:color w:val="000000"/>
            <w:sz w:val="20"/>
            <w:lang w:val="en-US" w:eastAsia="en-US" w:bidi="ar-SA"/>
          </w:rPr>
          <w:t>8 U.S.C. §</w:t>
        </w:r>
        <w:r>
          <w:rPr>
            <w:rFonts w:ascii="arial" w:eastAsia="arial" w:hAnsi="arial" w:cs="arial"/>
            <w:b/>
            <w:color w:val="000000"/>
            <w:sz w:val="20"/>
            <w:lang w:val="en-US" w:eastAsia="en-US" w:bidi="ar-SA"/>
          </w:rPr>
          <w:t> </w:t>
        </w:r>
        <w:r>
          <w:rPr>
            <w:rFonts w:ascii="arial" w:eastAsia="arial" w:hAnsi="arial" w:cs="arial"/>
            <w:b/>
            <w:i/>
            <w:color w:val="0077CC"/>
            <w:sz w:val="20"/>
            <w:u w:val="single"/>
            <w:shd w:val="clear" w:color="auto" w:fill="FFFFFF"/>
            <w:lang w:val="en-US" w:eastAsia="en-US" w:bidi="ar-SA"/>
          </w:rPr>
          <w:t>1182(d)(5)</w:t>
        </w:r>
      </w:hyperlink>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stated above, Congress also authorized that certain individuals be released from custody on ``parole.''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1226(a)(2)(B)</w:t>
        </w:r>
      </w:hyperlink>
      <w:r>
        <w:rPr>
          <w:rFonts w:ascii="arial" w:eastAsia="arial" w:hAnsi="arial" w:cs="arial"/>
          <w:color w:val="000000"/>
          <w:sz w:val="20"/>
          <w:lang w:val="en-US" w:eastAsia="en-US" w:bidi="ar-SA"/>
        </w:rPr>
        <w:t xml:space="preserve">. Parole is the general authority for releasing individuals from custody who have not ``legally'' entered the United States. See </w:t>
      </w:r>
      <w:hyperlink r:id="rId50" w:history="1">
        <w:r>
          <w:rPr>
            <w:rFonts w:ascii="arial" w:eastAsia="arial" w:hAnsi="arial" w:cs="arial"/>
            <w:i/>
            <w:color w:val="0077CC"/>
            <w:sz w:val="20"/>
            <w:u w:val="single"/>
            <w:shd w:val="clear" w:color="auto" w:fill="FFFFFF"/>
            <w:lang w:val="en-US" w:eastAsia="en-US" w:bidi="ar-SA"/>
          </w:rPr>
          <w:t>Clark v. Martinez, 543 U.S.371, 125 S. Ct. 716, 726–27 (2005)</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Zadvydas v. Davis, 533 U.S. at 693, 121 S. Ct. at 2500</w:t>
        </w:r>
      </w:hyperlink>
      <w:r>
        <w:rPr>
          <w:rFonts w:ascii="arial" w:eastAsia="arial" w:hAnsi="arial" w:cs="arial"/>
          <w:color w:val="000000"/>
          <w:sz w:val="20"/>
          <w:lang w:val="en-US" w:eastAsia="en-US" w:bidi="ar-SA"/>
        </w:rPr>
        <w:t xml:space="preserve">; </w:t>
      </w:r>
      <w:hyperlink r:id="rId51" w:history="1">
        <w:r>
          <w:rPr>
            <w:rFonts w:ascii="arial" w:eastAsia="arial" w:hAnsi="arial" w:cs="arial"/>
            <w:i/>
            <w:color w:val="0077CC"/>
            <w:sz w:val="20"/>
            <w:u w:val="single"/>
            <w:shd w:val="clear" w:color="auto" w:fill="FFFFFF"/>
            <w:lang w:val="en-US" w:eastAsia="en-US" w:bidi="ar-SA"/>
          </w:rPr>
          <w:t>Kwai Fun Wong v. INS, 373 F.3d 952, 971 (9th Cir. 2004)</w:t>
        </w:r>
      </w:hyperlink>
      <w:r>
        <w:rPr>
          <w:rFonts w:ascii="arial" w:eastAsia="arial" w:hAnsi="arial" w:cs="arial"/>
          <w:color w:val="000000"/>
          <w:sz w:val="20"/>
          <w:lang w:val="en-US" w:eastAsia="en-US" w:bidi="ar-SA"/>
        </w:rPr>
        <w:t xml:space="preserve">. The standard for release on parole is for ``urgent humanitarian reasons'' or in the ``significant public benefit.'' </w:t>
      </w:r>
      <w:hyperlink r:id="rId25"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1182(d)(5)</w:t>
        </w:r>
      </w:hyperlink>
      <w:r>
        <w:rPr>
          <w:rFonts w:ascii="arial" w:eastAsia="arial" w:hAnsi="arial" w:cs="arial"/>
          <w:color w:val="000000"/>
          <w:sz w:val="20"/>
          <w:lang w:val="en-US" w:eastAsia="en-US" w:bidi="ar-SA"/>
        </w:rPr>
        <w:t xml:space="preserve">; </w:t>
      </w:r>
      <w:hyperlink r:id="rId52" w:history="1">
        <w:r>
          <w:rPr>
            <w:rFonts w:ascii="arial" w:eastAsia="arial" w:hAnsi="arial" w:cs="arial"/>
            <w:i/>
            <w:color w:val="0077CC"/>
            <w:sz w:val="20"/>
            <w:u w:val="single"/>
            <w:shd w:val="clear" w:color="auto" w:fill="FFFFFF"/>
            <w:lang w:val="en-US" w:eastAsia="en-US" w:bidi="ar-SA"/>
          </w:rPr>
          <w:t>Jean v. Nelson, 472 U.S. 846, 848, 105 S. Ct. 2992, 2993 (1985)</w:t>
        </w:r>
      </w:hyperlink>
      <w:r>
        <w:rPr>
          <w:rFonts w:ascii="arial" w:eastAsia="arial" w:hAnsi="arial" w:cs="arial"/>
          <w:color w:val="000000"/>
          <w:sz w:val="20"/>
          <w:lang w:val="en-US" w:eastAsia="en-US" w:bidi="ar-SA"/>
        </w:rPr>
        <w:t xml:space="preserve">; </w:t>
      </w:r>
      <w:hyperlink r:id="rId79" w:history="1">
        <w:r>
          <w:rPr>
            <w:rFonts w:ascii="arial" w:eastAsia="arial" w:hAnsi="arial" w:cs="arial"/>
            <w:i/>
            <w:color w:val="0077CC"/>
            <w:sz w:val="20"/>
            <w:u w:val="single"/>
            <w:shd w:val="clear" w:color="auto" w:fill="FFFFFF"/>
            <w:lang w:val="en-US" w:eastAsia="en-US" w:bidi="ar-SA"/>
          </w:rPr>
          <w:t>Alaka v. Elwood, 225 F. Supp. 2d 547, 551 n. 61 (E.D. Pen. 2002)</w:t>
        </w:r>
      </w:hyperlink>
      <w:r>
        <w:rPr>
          <w:rFonts w:ascii="arial" w:eastAsia="arial" w:hAnsi="arial" w:cs="arial"/>
          <w:color w:val="000000"/>
          <w:sz w:val="20"/>
          <w:lang w:val="en-US" w:eastAsia="en-US" w:bidi="ar-SA"/>
        </w:rPr>
        <w:t xml:space="preserve">. See also ST Dec. at Exhs. L and O. There is no hearing before an immigration judge for parole, nor is there an evidentiary hearing or an opportunity to present witness. ST Dec. at Exh. O. The decision is solely within the authority of the DHS.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212.5(a)</w:t>
        </w:r>
      </w:hyperlink>
      <w:r>
        <w:rPr>
          <w:rFonts w:ascii="arial" w:eastAsia="arial" w:hAnsi="arial" w:cs="arial"/>
          <w:color w:val="000000"/>
          <w:sz w:val="20"/>
          <w:lang w:val="en-US" w:eastAsia="en-US" w:bidi="ar-SA"/>
        </w:rPr>
        <w:t xml:space="preserve">. While arriving aliens are not eligible for a bond redetermination hearing, they are eligible for release on parole.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212.5(c)</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Advance parole is authorization to travel and return to the U.S. that is issued prior to departure. See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212.5(f)</w:t>
        </w:r>
      </w:hyperlink>
      <w:r>
        <w:rPr>
          <w:rFonts w:ascii="arial" w:eastAsia="arial" w:hAnsi="arial" w:cs="arial"/>
          <w:color w:val="000000"/>
          <w:sz w:val="20"/>
          <w:lang w:val="en-US" w:eastAsia="en-US" w:bidi="ar-SA"/>
        </w:rPr>
        <w:t xml:space="preserve">. Individuals apply for advance parole so that they are not considered to have abandoned previously submitted applications when they depart the United States. </w:t>
      </w:r>
      <w:hyperlink r:id="rId33"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245.2(a)(4)(ii)</w:t>
        </w:r>
      </w:hyperlink>
      <w:r>
        <w:rPr>
          <w:rFonts w:ascii="arial" w:eastAsia="arial" w:hAnsi="arial" w:cs="arial"/>
          <w:color w:val="000000"/>
          <w:sz w:val="20"/>
          <w:lang w:val="en-US" w:eastAsia="en-US" w:bidi="ar-SA"/>
        </w:rPr>
        <w:t xml:space="preserve">. In some cases, an individual who travels on advance parole is returned to the status he held prior to departure. See e.g. </w:t>
      </w:r>
      <w:hyperlink r:id="rId40" w:history="1">
        <w:r>
          <w:rPr>
            <w:rFonts w:ascii="arial" w:eastAsia="arial" w:hAnsi="arial" w:cs="arial"/>
            <w:i/>
            <w:color w:val="0077CC"/>
            <w:sz w:val="20"/>
            <w:u w:val="single"/>
            <w:shd w:val="clear" w:color="auto" w:fill="FFFFFF"/>
            <w:lang w:val="en-US" w:eastAsia="en-US" w:bidi="ar-SA"/>
          </w:rPr>
          <w:t>Navarro-Aispura v. INS, 53 F. 3d 233 (9th Cir. 1995)</w:t>
        </w:r>
      </w:hyperlink>
      <w:r>
        <w:rPr>
          <w:rFonts w:ascii="arial" w:eastAsia="arial" w:hAnsi="arial" w:cs="arial"/>
          <w:color w:val="000000"/>
          <w:sz w:val="20"/>
          <w:lang w:val="en-US" w:eastAsia="en-US" w:bidi="ar-SA"/>
        </w:rPr>
        <w:t xml:space="preserve"> (discussing individuals who had applied for ``registry,'' pursuant to </w:t>
      </w:r>
      <w:hyperlink r:id="rId80"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1259</w:t>
        </w:r>
      </w:hyperlink>
      <w:r>
        <w:rPr>
          <w:rFonts w:ascii="arial" w:eastAsia="arial" w:hAnsi="arial" w:cs="arial"/>
          <w:color w:val="000000"/>
          <w:sz w:val="20"/>
          <w:lang w:val="en-US" w:eastAsia="en-US" w:bidi="ar-SA"/>
        </w:rPr>
        <w:t xml:space="preserve">, prior to his departure on advance parole); </w:t>
      </w:r>
      <w:hyperlink r:id="rId53" w:history="1">
        <w:r>
          <w:rPr>
            <w:rFonts w:ascii="arial" w:eastAsia="arial" w:hAnsi="arial" w:cs="arial"/>
            <w:i/>
            <w:color w:val="0077CC"/>
            <w:sz w:val="20"/>
            <w:u w:val="single"/>
            <w:shd w:val="clear" w:color="auto" w:fill="FFFFFF"/>
            <w:lang w:val="en-US" w:eastAsia="en-US" w:bidi="ar-SA"/>
          </w:rPr>
          <w:t>Sissoko v. Rocha, 412 F.3d 1021 (9th Cir. 2005)</w:t>
        </w:r>
      </w:hyperlink>
      <w:r>
        <w:rPr>
          <w:rFonts w:ascii="arial" w:eastAsia="arial" w:hAnsi="arial" w:cs="arial"/>
          <w:color w:val="000000"/>
          <w:sz w:val="20"/>
          <w:lang w:val="en-US" w:eastAsia="en-US" w:bidi="ar-SA"/>
        </w:rPr>
        <w:t xml:space="preserve"> (discussing legalization applicants traveling on advance parole). In other cases, where there is no status to return to, the individual is converted into a ``parolee'' when he returns to the United States, even if he did not originally enter in that manner. See </w:t>
      </w:r>
      <w:hyperlink r:id="rId54" w:history="1">
        <w:r>
          <w:rPr>
            <w:rFonts w:ascii="arial" w:eastAsia="arial" w:hAnsi="arial" w:cs="arial"/>
            <w:i/>
            <w:color w:val="0077CC"/>
            <w:sz w:val="20"/>
            <w:u w:val="single"/>
            <w:shd w:val="clear" w:color="auto" w:fill="FFFFFF"/>
            <w:lang w:val="en-US" w:eastAsia="en-US" w:bidi="ar-SA"/>
          </w:rPr>
          <w:t>Barney v. Rogers, 83 F.3d 318 (9th Cir. 1996)</w:t>
        </w:r>
      </w:hyperlink>
      <w:r>
        <w:rPr>
          <w:rFonts w:ascii="arial" w:eastAsia="arial" w:hAnsi="arial" w:cs="arial"/>
          <w:color w:val="000000"/>
          <w:sz w:val="20"/>
          <w:lang w:val="en-US" w:eastAsia="en-US" w:bidi="ar-SA"/>
        </w:rPr>
        <w:t xml:space="preserve">. For those individuals who travel on advance parole and had no status when they departed, they are considered to be ``parolees'' when they return. </w:t>
      </w:r>
      <w:hyperlink r:id="rId54" w:history="1">
        <w:r>
          <w:rPr>
            <w:rFonts w:ascii="arial" w:eastAsia="arial" w:hAnsi="arial" w:cs="arial"/>
            <w:i/>
            <w:color w:val="0077CC"/>
            <w:sz w:val="20"/>
            <w:u w:val="single"/>
            <w:shd w:val="clear" w:color="auto" w:fill="FFFFFF"/>
            <w:lang w:val="en-US" w:eastAsia="en-US" w:bidi="ar-SA"/>
          </w:rPr>
          <w:t>Barney v. Rogers, 83 F.3d 318 (9th Cir. 1996)</w:t>
        </w:r>
      </w:hyperlink>
      <w:r>
        <w:rPr>
          <w:rFonts w:ascii="arial" w:eastAsia="arial" w:hAnsi="arial" w:cs="arial"/>
          <w:color w:val="000000"/>
          <w:sz w:val="20"/>
          <w:lang w:val="en-US" w:eastAsia="en-US" w:bidi="ar-SA"/>
        </w:rPr>
        <w:t xml:space="preserve">; </w:t>
      </w:r>
      <w:hyperlink r:id="rId33"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245.2(a)(4)(ii)(B)</w:t>
        </w:r>
      </w:hyperlink>
      <w:r>
        <w:rPr>
          <w:rFonts w:ascii="arial" w:eastAsia="arial" w:hAnsi="arial" w:cs="arial"/>
          <w:color w:val="000000"/>
          <w:sz w:val="20"/>
          <w:lang w:val="en-US" w:eastAsia="en-US" w:bidi="ar-SA"/>
        </w:rPr>
        <w:t xml:space="preserve">. As parolees, they are also ``arriving aliens''. See </w:t>
      </w:r>
      <w:hyperlink r:id="rId31"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1.1(q)</w:t>
        </w:r>
      </w:hyperlink>
      <w:r>
        <w:rPr>
          <w:rFonts w:ascii="arial" w:eastAsia="arial" w:hAnsi="arial" w:cs="arial"/>
          <w:color w:val="000000"/>
          <w:sz w:val="20"/>
          <w:lang w:val="en-US" w:eastAsia="en-US" w:bidi="ar-SA"/>
        </w:rPr>
        <w:t xml:space="preserve">. See also </w:t>
      </w:r>
      <w:hyperlink r:id="rId55" w:history="1">
        <w:r>
          <w:rPr>
            <w:rFonts w:ascii="arial" w:eastAsia="arial" w:hAnsi="arial" w:cs="arial"/>
            <w:i/>
            <w:color w:val="0077CC"/>
            <w:sz w:val="20"/>
            <w:u w:val="single"/>
            <w:shd w:val="clear" w:color="auto" w:fill="FFFFFF"/>
            <w:lang w:val="en-US" w:eastAsia="en-US" w:bidi="ar-SA"/>
          </w:rPr>
          <w:t>Bona v. Gonzales, 425 F.3d. 663 2005 U.S. App. LEXIS 21207 *9 (Sept. 30, 2005)</w:t>
        </w:r>
      </w:hyperlink>
      <w:r>
        <w:rPr>
          <w:rFonts w:ascii="arial" w:eastAsia="arial" w:hAnsi="arial" w:cs="arial"/>
          <w:color w:val="000000"/>
          <w:sz w:val="20"/>
          <w:lang w:val="en-US" w:eastAsia="en-US" w:bidi="ar-SA"/>
        </w:rPr>
        <w:t xml:space="preserve">. As arriving aliens, under the regulations, they are ineligible for a bond redetermination hearing.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1003.19(h)(2)(i)(B)</w:t>
        </w:r>
      </w:hyperlink>
      <w:r>
        <w:rPr>
          <w:rFonts w:ascii="arial" w:eastAsia="arial" w:hAnsi="arial" w:cs="arial"/>
          <w:color w:val="000000"/>
          <w:sz w:val="20"/>
          <w:lang w:val="en-US" w:eastAsia="en-US" w:bidi="ar-SA"/>
        </w:rPr>
        <w:t xml:space="preserve">. See also </w:t>
      </w:r>
      <w:hyperlink r:id="rId56" w:history="1">
        <w:r>
          <w:rPr>
            <w:rFonts w:ascii="arial" w:eastAsia="arial" w:hAnsi="arial" w:cs="arial"/>
            <w:i/>
            <w:color w:val="0077CC"/>
            <w:sz w:val="20"/>
            <w:u w:val="single"/>
            <w:shd w:val="clear" w:color="auto" w:fill="FFFFFF"/>
            <w:lang w:val="en-US" w:eastAsia="en-US" w:bidi="ar-SA"/>
          </w:rPr>
          <w:t>Matter of Oseiwusu, 22 I. &amp; N. Dec. 19 (BIA 1998)</w:t>
        </w:r>
      </w:hyperlink>
      <w:r>
        <w:rPr>
          <w:rFonts w:ascii="arial" w:eastAsia="arial" w:hAnsi="arial" w:cs="arial"/>
          <w:color w:val="000000"/>
          <w:sz w:val="20"/>
          <w:lang w:val="en-US" w:eastAsia="en-US" w:bidi="ar-SA"/>
        </w:rPr>
        <w:t xml:space="preserve"> (an immigration judge has no authority over the apprehension, custody, and detention of arriving aliens and is therefore without authority to consider the bond request of an alien returning pursuant to a grant of advance parole).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 ARGUMENT</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 SUBSTANTIVE DUE PROCESS REQUIRES THAT MR. A BE RELEASED FROM CUSTODY BECAUSE THERE IS NO COMPELLING INTEREST OR SPECIAL CIRCUMSTANCES WHICH WARRANT HIS ONGOING DETENTION</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t>
      </w:r>
      <w:hyperlink r:id="rId81" w:history="1">
        <w:r>
          <w:rPr>
            <w:rFonts w:ascii="arial" w:eastAsia="arial" w:hAnsi="arial" w:cs="arial"/>
            <w:i/>
            <w:color w:val="0077CC"/>
            <w:sz w:val="20"/>
            <w:u w:val="single"/>
            <w:shd w:val="clear" w:color="auto" w:fill="FFFFFF"/>
            <w:lang w:val="en-US" w:eastAsia="en-US" w:bidi="ar-SA"/>
          </w:rPr>
          <w:t>Due Process Clause of the Fifth Amendment</w:t>
        </w:r>
      </w:hyperlink>
      <w:r>
        <w:rPr>
          <w:rFonts w:ascii="arial" w:eastAsia="arial" w:hAnsi="arial" w:cs="arial"/>
          <w:color w:val="000000"/>
          <w:sz w:val="20"/>
          <w:lang w:val="en-US" w:eastAsia="en-US" w:bidi="ar-SA"/>
        </w:rPr>
        <w:t xml:space="preserve"> provides that [n]o person shall be … deprived of life, liberty, or property, without due process of law. </w:t>
      </w:r>
      <w:hyperlink r:id="rId81"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Freedom from bodily restraint is at the core of the liberty protected by the Due Process Clause. This vital liberty interest is at stake when an individual is subject to detention by the DHS.</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substantive Due Process requirement of the </w:t>
      </w:r>
      <w:hyperlink r:id="rId81" w:history="1">
        <w:r>
          <w:rPr>
            <w:rFonts w:ascii="arial" w:eastAsia="arial" w:hAnsi="arial" w:cs="arial"/>
            <w:i/>
            <w:color w:val="0077CC"/>
            <w:sz w:val="20"/>
            <w:u w:val="single"/>
            <w:shd w:val="clear" w:color="auto" w:fill="FFFFFF"/>
            <w:lang w:val="en-US" w:eastAsia="en-US" w:bidi="ar-SA"/>
          </w:rPr>
          <w:t>Fifth Amendment</w:t>
        </w:r>
      </w:hyperlink>
      <w:r>
        <w:rPr>
          <w:rFonts w:ascii="arial" w:eastAsia="arial" w:hAnsi="arial" w:cs="arial"/>
          <w:color w:val="000000"/>
          <w:sz w:val="20"/>
          <w:lang w:val="en-US" w:eastAsia="en-US" w:bidi="ar-SA"/>
        </w:rPr>
        <w:t xml:space="preserve"> prohibits the government from infringing on fundamental rights unless the infringement is narrowly tailored to serve a compelling government interest or there is a special justification for continued confinement. Zadvydas v. Davis, 533 U.S. at 290, 121 S. Ct. at 2499; </w:t>
      </w:r>
      <w:hyperlink r:id="rId39" w:history="1">
        <w:r>
          <w:rPr>
            <w:rFonts w:ascii="arial" w:eastAsia="arial" w:hAnsi="arial" w:cs="arial"/>
            <w:i/>
            <w:color w:val="0077CC"/>
            <w:sz w:val="20"/>
            <w:u w:val="single"/>
            <w:shd w:val="clear" w:color="auto" w:fill="FFFFFF"/>
            <w:lang w:val="en-US" w:eastAsia="en-US" w:bidi="ar-SA"/>
          </w:rPr>
          <w:t>Zavala v. Ridge, 310 F. Supp. 2d 1071 (N.D. Cal. 2004)</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Substantive due process applies even if the Court concludes that Mr. A is properly a parolee and an arriving alien. In </w:t>
      </w:r>
      <w:hyperlink r:id="rId51" w:history="1">
        <w:r>
          <w:rPr>
            <w:rFonts w:ascii="arial" w:eastAsia="arial" w:hAnsi="arial" w:cs="arial"/>
            <w:i/>
            <w:color w:val="0077CC"/>
            <w:sz w:val="20"/>
            <w:u w:val="single"/>
            <w:shd w:val="clear" w:color="auto" w:fill="FFFFFF"/>
            <w:lang w:val="en-US" w:eastAsia="en-US" w:bidi="ar-SA"/>
          </w:rPr>
          <w:t>Wong v. United States INS, 373 F.3d at 972–3</w:t>
        </w:r>
      </w:hyperlink>
      <w:r>
        <w:rPr>
          <w:rFonts w:ascii="arial" w:eastAsia="arial" w:hAnsi="arial" w:cs="arial"/>
          <w:color w:val="000000"/>
          <w:sz w:val="20"/>
          <w:lang w:val="en-US" w:eastAsia="en-US" w:bidi="ar-SA"/>
        </w:rPr>
        <w:t xml:space="preserve">, the Ninth Circuit made clear that parolees are unquestionably ``persons'' within the meaning of the </w:t>
      </w:r>
      <w:hyperlink r:id="rId81" w:history="1">
        <w:r>
          <w:rPr>
            <w:rFonts w:ascii="arial" w:eastAsia="arial" w:hAnsi="arial" w:cs="arial"/>
            <w:i/>
            <w:color w:val="0077CC"/>
            <w:sz w:val="20"/>
            <w:u w:val="single"/>
            <w:shd w:val="clear" w:color="auto" w:fill="FFFFFF"/>
            <w:lang w:val="en-US" w:eastAsia="en-US" w:bidi="ar-SA"/>
          </w:rPr>
          <w:t>Fifth Amendment</w:t>
        </w:r>
      </w:hyperlink>
      <w:r>
        <w:rPr>
          <w:rFonts w:ascii="arial" w:eastAsia="arial" w:hAnsi="arial" w:cs="arial"/>
          <w:color w:val="000000"/>
          <w:sz w:val="20"/>
          <w:lang w:val="en-US" w:eastAsia="en-US" w:bidi="ar-SA"/>
        </w:rPr>
        <w:t xml:space="preserve">, and therefore have the same substantive rights as all persons in the United States. The court stated ``[t]he entry fiction is best seen, instead, as a fairly narrow doctrine that primarily determines the procedures that the executive branch must follow before turning an immigrant away. Otherwise, the doctrine would allow any number of abuses to be deemed constitutionally permissible merely by labeling certain `persons' as non-persons.'' </w:t>
      </w:r>
      <w:hyperlink r:id="rId51" w:history="1">
        <w:r>
          <w:rPr>
            <w:rFonts w:ascii="arial" w:eastAsia="arial" w:hAnsi="arial" w:cs="arial"/>
            <w:i/>
            <w:color w:val="0077CC"/>
            <w:sz w:val="20"/>
            <w:u w:val="single"/>
            <w:shd w:val="clear" w:color="auto" w:fill="FFFFFF"/>
            <w:lang w:val="en-US" w:eastAsia="en-US" w:bidi="ar-SA"/>
          </w:rPr>
          <w:t>Id. at 974</w:t>
        </w:r>
      </w:hyperlink>
      <w:r>
        <w:rPr>
          <w:rFonts w:ascii="arial" w:eastAsia="arial" w:hAnsi="arial" w:cs="arial"/>
          <w:color w:val="000000"/>
          <w:sz w:val="20"/>
          <w:lang w:val="en-US" w:eastAsia="en-US" w:bidi="ar-SA"/>
        </w:rPr>
        <w:t xml:space="preserve">. See also </w:t>
      </w:r>
      <w:hyperlink r:id="rId57" w:history="1">
        <w:r>
          <w:rPr>
            <w:rFonts w:ascii="arial" w:eastAsia="arial" w:hAnsi="arial" w:cs="arial"/>
            <w:i/>
            <w:color w:val="0077CC"/>
            <w:sz w:val="20"/>
            <w:u w:val="single"/>
            <w:shd w:val="clear" w:color="auto" w:fill="FFFFFF"/>
            <w:lang w:val="en-US" w:eastAsia="en-US" w:bidi="ar-SA"/>
          </w:rPr>
          <w:t>Mathews v. Diaz, 426 U.S. 67, 96 S. Ct. 1883 (1976)</w:t>
        </w:r>
      </w:hyperlink>
      <w:r>
        <w:rPr>
          <w:rFonts w:ascii="arial" w:eastAsia="arial" w:hAnsi="arial" w:cs="arial"/>
          <w:color w:val="000000"/>
          <w:sz w:val="20"/>
          <w:lang w:val="en-US" w:eastAsia="en-US" w:bidi="ar-SA"/>
        </w:rPr>
        <w:t xml:space="preserve"> (applying Equal Protection analysis to parolees); </w:t>
      </w:r>
      <w:hyperlink r:id="rId58" w:history="1">
        <w:r>
          <w:rPr>
            <w:rFonts w:ascii="arial" w:eastAsia="arial" w:hAnsi="arial" w:cs="arial"/>
            <w:i/>
            <w:color w:val="0077CC"/>
            <w:sz w:val="20"/>
            <w:u w:val="single"/>
            <w:shd w:val="clear" w:color="auto" w:fill="FFFFFF"/>
            <w:lang w:val="en-US" w:eastAsia="en-US" w:bidi="ar-SA"/>
          </w:rPr>
          <w:t>Alvarez-Mendez v. Stock, 941 F.2d 956, 962 &amp; n.6 (9th Cir. 1991)</w:t>
        </w:r>
      </w:hyperlink>
      <w:r>
        <w:rPr>
          <w:rFonts w:ascii="arial" w:eastAsia="arial" w:hAnsi="arial" w:cs="arial"/>
          <w:color w:val="000000"/>
          <w:sz w:val="20"/>
          <w:lang w:val="en-US" w:eastAsia="en-US" w:bidi="ar-SA"/>
        </w:rPr>
        <w:t xml:space="preserve"> (considering whether detention of excluded Cuban refugee violated his substantive due process rights, and noting that </w:t>
      </w:r>
      <w:hyperlink r:id="rId81" w:history="1">
        <w:r>
          <w:rPr>
            <w:rFonts w:ascii="arial" w:eastAsia="arial" w:hAnsi="arial" w:cs="arial"/>
            <w:i/>
            <w:color w:val="0077CC"/>
            <w:sz w:val="20"/>
            <w:u w:val="single"/>
            <w:shd w:val="clear" w:color="auto" w:fill="FFFFFF"/>
            <w:lang w:val="en-US" w:eastAsia="en-US" w:bidi="ar-SA"/>
          </w:rPr>
          <w:t>Fifth</w:t>
        </w:r>
      </w:hyperlink>
      <w:r>
        <w:rPr>
          <w:rFonts w:ascii="arial" w:eastAsia="arial" w:hAnsi="arial" w:cs="arial"/>
          <w:color w:val="000000"/>
          <w:sz w:val="20"/>
          <w:lang w:val="en-US" w:eastAsia="en-US" w:bidi="ar-SA"/>
        </w:rPr>
        <w:t xml:space="preserve"> and </w:t>
      </w:r>
      <w:hyperlink r:id="rId82" w:history="1">
        <w:r>
          <w:rPr>
            <w:rFonts w:ascii="arial" w:eastAsia="arial" w:hAnsi="arial" w:cs="arial"/>
            <w:i/>
            <w:color w:val="0077CC"/>
            <w:sz w:val="20"/>
            <w:u w:val="single"/>
            <w:shd w:val="clear" w:color="auto" w:fill="FFFFFF"/>
            <w:lang w:val="en-US" w:eastAsia="en-US" w:bidi="ar-SA"/>
          </w:rPr>
          <w:t>Sixth Amendments</w:t>
        </w:r>
      </w:hyperlink>
      <w:r>
        <w:rPr>
          <w:rFonts w:ascii="arial" w:eastAsia="arial" w:hAnsi="arial" w:cs="arial"/>
          <w:color w:val="000000"/>
          <w:sz w:val="20"/>
          <w:lang w:val="en-US" w:eastAsia="en-US" w:bidi="ar-SA"/>
        </w:rPr>
        <w:t xml:space="preserve"> apply to aliens as well as citizens); </w:t>
      </w:r>
      <w:r>
        <w:rPr>
          <w:rFonts w:ascii="arial" w:eastAsia="arial" w:hAnsi="arial" w:cs="arial"/>
          <w:i/>
          <w:color w:val="000000"/>
          <w:sz w:val="20"/>
          <w:lang w:val="en-US" w:eastAsia="en-US" w:bidi="ar-SA"/>
        </w:rPr>
        <w:t>Lynch v. Cannatella, 810 F.2d 1363, 1374 (5th Cir. 1987)</w:t>
      </w:r>
      <w:r>
        <w:rPr>
          <w:rFonts w:ascii="arial" w:eastAsia="arial" w:hAnsi="arial" w:cs="arial"/>
          <w:color w:val="000000"/>
          <w:sz w:val="20"/>
          <w:lang w:val="en-US" w:eastAsia="en-US" w:bidi="ar-SA"/>
        </w:rPr>
        <w:t xml:space="preserve"> (``Whatever due process rights excludable aliens may be denied by virtue of their status, they are entitled under the </w:t>
      </w:r>
      <w:hyperlink r:id="rId81" w:history="1">
        <w:r>
          <w:rPr>
            <w:rFonts w:ascii="arial" w:eastAsia="arial" w:hAnsi="arial" w:cs="arial"/>
            <w:i/>
            <w:color w:val="0077CC"/>
            <w:sz w:val="20"/>
            <w:u w:val="single"/>
            <w:shd w:val="clear" w:color="auto" w:fill="FFFFFF"/>
            <w:lang w:val="en-US" w:eastAsia="en-US" w:bidi="ar-SA"/>
          </w:rPr>
          <w:t>due process clauses of the fifth</w:t>
        </w:r>
      </w:hyperlink>
      <w:r>
        <w:rPr>
          <w:rFonts w:ascii="arial" w:eastAsia="arial" w:hAnsi="arial" w:cs="arial"/>
          <w:color w:val="000000"/>
          <w:sz w:val="20"/>
          <w:lang w:val="en-US" w:eastAsia="en-US" w:bidi="ar-SA"/>
        </w:rPr>
        <w:t xml:space="preserve"> and </w:t>
      </w:r>
      <w:hyperlink r:id="rId83" w:history="1">
        <w:r>
          <w:rPr>
            <w:rFonts w:ascii="arial" w:eastAsia="arial" w:hAnsi="arial" w:cs="arial"/>
            <w:i/>
            <w:color w:val="0077CC"/>
            <w:sz w:val="20"/>
            <w:u w:val="single"/>
            <w:shd w:val="clear" w:color="auto" w:fill="FFFFFF"/>
            <w:lang w:val="en-US" w:eastAsia="en-US" w:bidi="ar-SA"/>
          </w:rPr>
          <w:t>fourteenth amendments</w:t>
        </w:r>
      </w:hyperlink>
      <w:r>
        <w:rPr>
          <w:rFonts w:ascii="arial" w:eastAsia="arial" w:hAnsi="arial" w:cs="arial"/>
          <w:color w:val="000000"/>
          <w:sz w:val="20"/>
          <w:lang w:val="en-US" w:eastAsia="en-US" w:bidi="ar-SA"/>
        </w:rPr>
        <w:t xml:space="preserve"> to be free of gross physical abuse at the hands of state or federal officials.'').</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Here there is no compelling government interest or special circumstance which authorizes Mr. A's continued confinement. Mr. A is clearly not a danger or a flight risk. He is married to a United States Citizen, Mrs. A, and they have a U.S. citizen daughter together. ST Dec. at Exh. J pages 1–4. Mr. A is the primary caretaker of his daughter because his wife works. Id. at Exh. 6. He is also very close to his mother and father in law. Id. at Exh. J pages 7–8. In addition to Mr. A's commitments to his family, he also is the subject of a pending criminal case. He has been released on a bond of $10,000 and is required to appear for sentencing before the U.S. District Court for the [name of district court] in [location of district court]. Id. at Exh. J pages 12–13. The District Court judge in the criminal case has already concluded that Mr. A is not a danger or flight risk, as that was the same determination made in his criminal custody case. Id.; Bail Reform Act, </w:t>
      </w:r>
      <w:hyperlink r:id="rId37" w:history="1">
        <w:r>
          <w:rPr>
            <w:rFonts w:ascii="arial" w:eastAsia="arial" w:hAnsi="arial" w:cs="arial"/>
            <w:color w:val="000000"/>
            <w:sz w:val="20"/>
            <w:lang w:val="en-US" w:eastAsia="en-US" w:bidi="ar-SA"/>
          </w:rPr>
          <w:t>18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3156(a)(4)</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Finally, Mr. A is eligible for relief from removal in the form of adjustment of status and asylum.</w:t>
      </w:r>
      <w:r>
        <w:rPr>
          <w:rFonts w:ascii="arial" w:eastAsia="arial" w:hAnsi="arial" w:cs="arial"/>
          <w:sz w:val="20"/>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He therefore has incentive to appear at any future hearings.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 THE CONSTITUTION REQUIRES THAT MR. A BE AFFORDED A BOND HEARING TO DETERMINE IF HE IS A DANGER TO OTHERS OR A FLIGHT RISK</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the Court concludes that Mr. A should not be immediately released from custody, then it should conclude that Mr. A is entitled to bond hearing before an immigration judge to determine if he is a danger to others or a flight risk. See </w:t>
      </w:r>
      <w:hyperlink r:id="rId47" w:history="1">
        <w:r>
          <w:rPr>
            <w:rFonts w:ascii="arial" w:eastAsia="arial" w:hAnsi="arial" w:cs="arial"/>
            <w:i/>
            <w:color w:val="0077CC"/>
            <w:sz w:val="20"/>
            <w:u w:val="single"/>
            <w:shd w:val="clear" w:color="auto" w:fill="FFFFFF"/>
            <w:lang w:val="en-US" w:eastAsia="en-US" w:bidi="ar-SA"/>
          </w:rPr>
          <w:t>Matter of Drysdale, 20 I. &amp; N. Dec. 815 (BIA 1994)</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1. Procedural Due Process Requires That Mr. A Be Entitled to a Bond Hearing Before an Immigration Judge Because He Was Never Given Proper Notice of the Consequences of Traveling on Advance Parole</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deprivation of a right to a bond hearing and the right to bond violates Mr. A's due process rights. Mr. A was never advised that when he traveled under ``advance parole'' he would be ineligible for a bond hearing before the immigration judge, as well as ineligible for release on bond under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1226(a)(1)</w:t>
        </w:r>
      </w:hyperlink>
      <w:r>
        <w:rPr>
          <w:rFonts w:ascii="arial" w:eastAsia="arial" w:hAnsi="arial" w:cs="arial"/>
          <w:color w:val="000000"/>
          <w:sz w:val="20"/>
          <w:lang w:val="en-US" w:eastAsia="en-US" w:bidi="ar-SA"/>
        </w:rPr>
        <w:t>.</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 A traveled on two occasions on advance parole, which were both issued when his application for adjustment of status (based on his first marriage) was pending. ST Dec. at Exh. B. Neither of these documents notify Mr. A that his legal rights changed when he traveled on advance parole, and that he would return to the United States as an ``arriving alien'' who was ineligible for bond if he was detained. The July 1997 document warns that Mr. Shahwan would be placed into ``exclusion proceedings'' and not deportation proceedings, and the May 5, 1998 document warns that Mr. A may be subject to ``unlawful presence bars'' and may be placed into removal (or expedited removal proceedings). Id. However, nowhere do these documents advise Mr. A that his legal and substantive rights to bond are dramatically changed by simply traveling on the advance parole. Nowhere do these documents state that Mr. Shahwan will lose the substantive right to release from custody (even if he is not a flight risk or danger to others), or the procedural right to a hearing before an immigration judge on these issues (including the right to present testimony and evidence, and to contest the government's allegations). Nowhere do these documents inform Mr. A that if he travels and returns to the United States, and is placed into removal proceedings, that he will have to remain in detention during his removal proceeding.</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Due process requires fair notice and the opportunity to be heard. </w:t>
      </w:r>
      <w:hyperlink r:id="rId59" w:history="1">
        <w:r>
          <w:rPr>
            <w:rFonts w:ascii="arial" w:eastAsia="arial" w:hAnsi="arial" w:cs="arial"/>
            <w:i/>
            <w:color w:val="0077CC"/>
            <w:sz w:val="20"/>
            <w:u w:val="single"/>
            <w:shd w:val="clear" w:color="auto" w:fill="FFFFFF"/>
            <w:lang w:val="en-US" w:eastAsia="en-US" w:bidi="ar-SA"/>
          </w:rPr>
          <w:t>Mullane v. Central Hanover Bank &amp; Trust Co., 339 U.S. 306, 314, 70 S. Ct. 652, 657 (1950)</w:t>
        </w:r>
      </w:hyperlink>
      <w:r>
        <w:rPr>
          <w:rFonts w:ascii="arial" w:eastAsia="arial" w:hAnsi="arial" w:cs="arial"/>
          <w:color w:val="000000"/>
          <w:sz w:val="20"/>
          <w:lang w:val="en-US" w:eastAsia="en-US" w:bidi="ar-SA"/>
        </w:rPr>
        <w:t xml:space="preserve">. ``This right to be heard has little reality or worth unless one is informed that the matter is pending and can choose for himself whether to appear or default, acquiesce or contest.'' Id. In </w:t>
      </w:r>
      <w:hyperlink r:id="rId40" w:history="1">
        <w:r>
          <w:rPr>
            <w:rFonts w:ascii="arial" w:eastAsia="arial" w:hAnsi="arial" w:cs="arial"/>
            <w:i/>
            <w:color w:val="0077CC"/>
            <w:sz w:val="20"/>
            <w:u w:val="single"/>
            <w:shd w:val="clear" w:color="auto" w:fill="FFFFFF"/>
            <w:lang w:val="en-US" w:eastAsia="en-US" w:bidi="ar-SA"/>
          </w:rPr>
          <w:t>Navarro-Aispura v. INS, 53 F. 3d 233 (9th Cir. 1995)</w:t>
        </w:r>
      </w:hyperlink>
      <w:r>
        <w:rPr>
          <w:rFonts w:ascii="arial" w:eastAsia="arial" w:hAnsi="arial" w:cs="arial"/>
          <w:color w:val="000000"/>
          <w:sz w:val="20"/>
          <w:lang w:val="en-US" w:eastAsia="en-US" w:bidi="ar-SA"/>
        </w:rPr>
        <w:t xml:space="preserve">, the Ninth Circuit held that an alien granted advance parole cannot be deprived of the opportunity to apply for registry because he was never notified that his travel on the advance parole would eliminate his eligibility for registry. </w:t>
      </w:r>
      <w:hyperlink r:id="rId40" w:history="1">
        <w:r>
          <w:rPr>
            <w:rFonts w:ascii="arial" w:eastAsia="arial" w:hAnsi="arial" w:cs="arial"/>
            <w:i/>
            <w:color w:val="0077CC"/>
            <w:sz w:val="20"/>
            <w:u w:val="single"/>
            <w:shd w:val="clear" w:color="auto" w:fill="FFFFFF"/>
            <w:lang w:val="en-US" w:eastAsia="en-US" w:bidi="ar-SA"/>
          </w:rPr>
          <w:t>Id. at 236</w:t>
        </w:r>
      </w:hyperlink>
      <w:r>
        <w:rPr>
          <w:rFonts w:ascii="arial" w:eastAsia="arial" w:hAnsi="arial" w:cs="arial"/>
          <w:color w:val="000000"/>
          <w:sz w:val="20"/>
          <w:lang w:val="en-US" w:eastAsia="en-US" w:bidi="ar-SA"/>
        </w:rPr>
        <w:t xml:space="preserve">. While the notice on the advance parole document in that case did notify the alien that he would be placed into exclusion proceedings, it never notified him that he would lose his substantive right to apply for residency because registry is not available in exclusion proceedings. Id. The Court therefore concluded that exclusion proceedings were improper. See also </w:t>
      </w:r>
      <w:hyperlink r:id="rId53" w:history="1">
        <w:r>
          <w:rPr>
            <w:rFonts w:ascii="arial" w:eastAsia="arial" w:hAnsi="arial" w:cs="arial"/>
            <w:i/>
            <w:color w:val="0077CC"/>
            <w:sz w:val="20"/>
            <w:u w:val="single"/>
            <w:shd w:val="clear" w:color="auto" w:fill="FFFFFF"/>
            <w:lang w:val="en-US" w:eastAsia="en-US" w:bidi="ar-SA"/>
          </w:rPr>
          <w:t>Sissoko v. Rocha, 412 F.3d 1021, 1039 (9th Cir. Jun. 13, 2005)</w:t>
        </w:r>
      </w:hyperlink>
      <w:r>
        <w:rPr>
          <w:rFonts w:ascii="arial" w:eastAsia="arial" w:hAnsi="arial" w:cs="arial"/>
          <w:color w:val="000000"/>
          <w:sz w:val="20"/>
          <w:lang w:val="en-US" w:eastAsia="en-US" w:bidi="ar-SA"/>
        </w:rPr>
        <w:t xml:space="preserve"> (The Ninth Circuit, relying on its prior decision in </w:t>
      </w:r>
      <w:hyperlink r:id="rId40" w:history="1">
        <w:r>
          <w:rPr>
            <w:rFonts w:ascii="arial" w:eastAsia="arial" w:hAnsi="arial" w:cs="arial"/>
            <w:i/>
            <w:color w:val="0077CC"/>
            <w:sz w:val="20"/>
            <w:u w:val="single"/>
            <w:shd w:val="clear" w:color="auto" w:fill="FFFFFF"/>
            <w:lang w:val="en-US" w:eastAsia="en-US" w:bidi="ar-SA"/>
          </w:rPr>
          <w:t>Navarro-Aispura v. INS, 53 F.3d 233 (9th Cir. 1995)</w:t>
        </w:r>
      </w:hyperlink>
      <w:r>
        <w:rPr>
          <w:rFonts w:ascii="arial" w:eastAsia="arial" w:hAnsi="arial" w:cs="arial"/>
          <w:color w:val="000000"/>
          <w:sz w:val="20"/>
          <w:lang w:val="en-US" w:eastAsia="en-US" w:bidi="ar-SA"/>
        </w:rPr>
        <w:t>, stated that ``[t]he denial of an alien's legalization application after he returns with a valid advance parole document leaves him in the status he was in prior to his application, and does not foreordain his removal.''). Navarro-Aispura controls the outcome of this case and mandates that this Court hold, at a minimum, that Mr. A is eligible for a bond hearing before an immigration judge.</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Ninth Circuit caselaw is clear that an agency's form document can lead to due process violations if the form fails to provide adequate notice. See </w:t>
      </w:r>
      <w:hyperlink r:id="rId41" w:history="1">
        <w:r>
          <w:rPr>
            <w:rFonts w:ascii="arial" w:eastAsia="arial" w:hAnsi="arial" w:cs="arial"/>
            <w:i/>
            <w:color w:val="0077CC"/>
            <w:sz w:val="20"/>
            <w:u w:val="single"/>
            <w:shd w:val="clear" w:color="auto" w:fill="FFFFFF"/>
            <w:lang w:val="en-US" w:eastAsia="en-US" w:bidi="ar-SA"/>
          </w:rPr>
          <w:t>Martinez-De Bojorquez v. Ashcroft, 365 F. 3d 800 (9th Cir. 2004)</w:t>
        </w:r>
      </w:hyperlink>
      <w:r>
        <w:rPr>
          <w:rFonts w:ascii="arial" w:eastAsia="arial" w:hAnsi="arial" w:cs="arial"/>
          <w:color w:val="000000"/>
          <w:sz w:val="20"/>
          <w:lang w:val="en-US" w:eastAsia="en-US" w:bidi="ar-SA"/>
        </w:rPr>
        <w:t xml:space="preserve"> (departure from the U.S. after the filing of a notice of appeal before the BIA does not withdraw the appeal when the alien was not adequately notified of the consequences of leaving); </w:t>
      </w:r>
      <w:hyperlink r:id="rId60" w:history="1">
        <w:r>
          <w:rPr>
            <w:rFonts w:ascii="arial" w:eastAsia="arial" w:hAnsi="arial" w:cs="arial"/>
            <w:i/>
            <w:color w:val="0077CC"/>
            <w:sz w:val="20"/>
            <w:u w:val="single"/>
            <w:shd w:val="clear" w:color="auto" w:fill="FFFFFF"/>
            <w:lang w:val="en-US" w:eastAsia="en-US" w:bidi="ar-SA"/>
          </w:rPr>
          <w:t>Vargas-Garcia v. INS, 287 F. 3d 882 (9th Cir. 2002)</w:t>
        </w:r>
      </w:hyperlink>
      <w:r>
        <w:rPr>
          <w:rFonts w:ascii="arial" w:eastAsia="arial" w:hAnsi="arial" w:cs="arial"/>
          <w:color w:val="000000"/>
          <w:sz w:val="20"/>
          <w:lang w:val="en-US" w:eastAsia="en-US" w:bidi="ar-SA"/>
        </w:rPr>
        <w:t xml:space="preserve"> (BIA could not summarily dismiss appeals when it failed to properly notify appellants of what requirements are necessary to avoid summary dismissal of an appeal); </w:t>
      </w:r>
      <w:hyperlink r:id="rId61" w:history="1">
        <w:r>
          <w:rPr>
            <w:rFonts w:ascii="arial" w:eastAsia="arial" w:hAnsi="arial" w:cs="arial"/>
            <w:i/>
            <w:color w:val="0077CC"/>
            <w:sz w:val="20"/>
            <w:u w:val="single"/>
            <w:shd w:val="clear" w:color="auto" w:fill="FFFFFF"/>
            <w:lang w:val="en-US" w:eastAsia="en-US" w:bidi="ar-SA"/>
          </w:rPr>
          <w:t>Walters v. Reno, 145 F. 3d 1032, 1042 (9th Cir. 1998)</w:t>
        </w:r>
      </w:hyperlink>
      <w:r>
        <w:rPr>
          <w:rFonts w:ascii="arial" w:eastAsia="arial" w:hAnsi="arial" w:cs="arial"/>
          <w:color w:val="000000"/>
          <w:sz w:val="20"/>
          <w:lang w:val="en-US" w:eastAsia="en-US" w:bidi="ar-SA"/>
        </w:rPr>
        <w:t xml:space="preserve"> (INS forms failed to proved sufficient notice regarding document fraud proceedings and the waiver of a hearing before an immigration judge).</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Had Mr. A been notified, as due process required, that he would lose the substantive right to release on bond and the right to a full hearing before an immigration judge in the event that removal proceedings were initiated, he would not have traveled on advance parole.</w:t>
      </w:r>
      <w:r>
        <w:rPr>
          <w:rFonts w:ascii="arial" w:eastAsia="arial" w:hAnsi="arial" w:cs="arial"/>
          <w:sz w:val="20"/>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ST Dec. at Exh. D. Had he not traveled, when removal proceedings were initiated he would have been eligible for release on bond. See </w:t>
      </w:r>
      <w:hyperlink r:id="rId46" w:history="1">
        <w:r>
          <w:rPr>
            <w:rFonts w:ascii="arial" w:eastAsia="arial" w:hAnsi="arial" w:cs="arial"/>
            <w:i/>
            <w:color w:val="0077CC"/>
            <w:sz w:val="20"/>
            <w:u w:val="single"/>
            <w:shd w:val="clear" w:color="auto" w:fill="FFFFFF"/>
            <w:lang w:val="en-US" w:eastAsia="en-US" w:bidi="ar-SA"/>
          </w:rPr>
          <w:t>Matter of Patel, 15 I. &amp; N. Dec. 666 (BIA 1976)</w:t>
        </w:r>
      </w:hyperlink>
      <w:r>
        <w:rPr>
          <w:rFonts w:ascii="arial" w:eastAsia="arial" w:hAnsi="arial" w:cs="arial"/>
          <w:color w:val="000000"/>
          <w:sz w:val="20"/>
          <w:lang w:val="en-US" w:eastAsia="en-US" w:bidi="ar-SA"/>
        </w:rPr>
        <w:t xml:space="preserve"> and </w:t>
      </w:r>
      <w:hyperlink r:id="rId47" w:history="1">
        <w:r>
          <w:rPr>
            <w:rFonts w:ascii="arial" w:eastAsia="arial" w:hAnsi="arial" w:cs="arial"/>
            <w:i/>
            <w:color w:val="0077CC"/>
            <w:sz w:val="20"/>
            <w:u w:val="single"/>
            <w:shd w:val="clear" w:color="auto" w:fill="FFFFFF"/>
            <w:lang w:val="en-US" w:eastAsia="en-US" w:bidi="ar-SA"/>
          </w:rPr>
          <w:t>Matter of Drysdale, 20 I. &amp; N. Dec. 815 (BIA 1994)</w:t>
        </w:r>
      </w:hyperlink>
      <w:r>
        <w:rPr>
          <w:rFonts w:ascii="arial" w:eastAsia="arial" w:hAnsi="arial" w:cs="arial"/>
          <w:color w:val="000000"/>
          <w:sz w:val="20"/>
          <w:lang w:val="en-US" w:eastAsia="en-US" w:bidi="ar-SA"/>
        </w:rPr>
        <w:t>. He also would have been eligible for a full hearing before the immigration judge where he would have a right to fully contest the charges against him, to present evidence, and to testify and present witnesses.</w:t>
      </w:r>
      <w:r>
        <w:rPr>
          <w:rFonts w:ascii="arial" w:eastAsia="arial" w:hAnsi="arial" w:cs="arial"/>
          <w:sz w:val="20"/>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ST Dec. at Exh. N. As an ``arriving alien'' he gets none of these things. The parole requirement is that an individual should not be released unless there are ``urgent humanitarian reasons'' or a ``significant public benefit.'' </w:t>
      </w:r>
      <w:hyperlink r:id="rId25"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1182(d)(5)</w:t>
        </w:r>
      </w:hyperlink>
      <w:r>
        <w:rPr>
          <w:rFonts w:ascii="arial" w:eastAsia="arial" w:hAnsi="arial" w:cs="arial"/>
          <w:color w:val="000000"/>
          <w:sz w:val="20"/>
          <w:lang w:val="en-US" w:eastAsia="en-US" w:bidi="ar-SA"/>
        </w:rPr>
        <w:t xml:space="preserve">. This is unquestionably a much higher burden to meet than proving that an of Patel individual is not a danger to others or a flight risk. In addition, in non-criminal bond cases, the burden is on the government, and not the non-citizen, to prove that an individual should remain in custody. See </w:t>
      </w:r>
      <w:hyperlink r:id="rId46" w:history="1">
        <w:r>
          <w:rPr>
            <w:rFonts w:ascii="arial" w:eastAsia="arial" w:hAnsi="arial" w:cs="arial"/>
            <w:i/>
            <w:color w:val="0077CC"/>
            <w:sz w:val="20"/>
            <w:u w:val="single"/>
            <w:shd w:val="clear" w:color="auto" w:fill="FFFFFF"/>
            <w:lang w:val="en-US" w:eastAsia="en-US" w:bidi="ar-SA"/>
          </w:rPr>
          <w:t>Matter, 15 I. &amp; N. Dec. 666 (BIA 1976)</w:t>
        </w:r>
      </w:hyperlink>
      <w:r>
        <w:rPr>
          <w:rFonts w:ascii="arial" w:eastAsia="arial" w:hAnsi="arial" w:cs="arial"/>
          <w:color w:val="000000"/>
          <w:sz w:val="20"/>
          <w:lang w:val="en-US" w:eastAsia="en-US" w:bidi="ar-SA"/>
        </w:rPr>
        <w:t>. Finally, in a parole request there is no hearing, no opportunity to testify, no opportunity to present witnesses, and no ability to have a neutral arbiter make a decision on release. ST. Dec. at Exh. O.</w:t>
      </w:r>
      <w:r>
        <w:rPr>
          <w:rFonts w:ascii="arial" w:eastAsia="arial" w:hAnsi="arial" w:cs="arial"/>
          <w:sz w:val="20"/>
          <w:vertAlign w:val="superscript"/>
          <w:lang w:val="en-US" w:eastAsia="en-US" w:bidi="ar-SA"/>
        </w:rPr>
        <w:footnoteReference w:customMarkFollows="1" w:id="6"/>
        <w:t xml:space="preserve">7</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Due process requires that Mr. A be afforded a full bond hearing and eligibility for release from custody if, after a hearing, there is a determination made that he is not a danger to others or a flight risk. Furthermore, even if there is a determination made that he may be a flight risk, which is not supported by the record, then the agency should set a reasonable bond in his case to address those concerns. See </w:t>
      </w:r>
      <w:hyperlink r:id="rId47" w:history="1">
        <w:r>
          <w:rPr>
            <w:rFonts w:ascii="arial" w:eastAsia="arial" w:hAnsi="arial" w:cs="arial"/>
            <w:i/>
            <w:color w:val="0077CC"/>
            <w:sz w:val="20"/>
            <w:u w:val="single"/>
            <w:shd w:val="clear" w:color="auto" w:fill="FFFFFF"/>
            <w:lang w:val="en-US" w:eastAsia="en-US" w:bidi="ar-SA"/>
          </w:rPr>
          <w:t>Matter of Drysdale, 20 I. &amp; N. Dec. 815 (BIA 1994)</w:t>
        </w:r>
      </w:hyperlink>
      <w:r>
        <w:rPr>
          <w:rFonts w:ascii="arial" w:eastAsia="arial" w:hAnsi="arial" w:cs="arial"/>
          <w:color w:val="000000"/>
          <w:sz w:val="20"/>
          <w:lang w:val="en-US" w:eastAsia="en-US" w:bidi="ar-SA"/>
        </w:rPr>
        <w:t>. This is what would have been available to Mr. A had he not traveled on advance parole, and the requirements of proper and adequate notice require no less.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2. Depriving Mr. A of the Right to Bond and a Full Bond Hearing Violates Equal Protection</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t>
      </w:r>
      <w:hyperlink r:id="rId83" w:history="1">
        <w:r>
          <w:rPr>
            <w:rFonts w:ascii="arial" w:eastAsia="arial" w:hAnsi="arial" w:cs="arial"/>
            <w:i/>
            <w:color w:val="0077CC"/>
            <w:sz w:val="20"/>
            <w:u w:val="single"/>
            <w:shd w:val="clear" w:color="auto" w:fill="FFFFFF"/>
            <w:lang w:val="en-US" w:eastAsia="en-US" w:bidi="ar-SA"/>
          </w:rPr>
          <w:t>Equal Protection Clause</w:t>
        </w:r>
      </w:hyperlink>
      <w:r>
        <w:rPr>
          <w:rFonts w:ascii="arial" w:eastAsia="arial" w:hAnsi="arial" w:cs="arial"/>
          <w:color w:val="000000"/>
          <w:sz w:val="20"/>
          <w:lang w:val="en-US" w:eastAsia="en-US" w:bidi="ar-SA"/>
        </w:rPr>
        <w:t xml:space="preserve"> applies to aliens. See </w:t>
      </w:r>
      <w:hyperlink r:id="rId62" w:history="1">
        <w:r>
          <w:rPr>
            <w:rFonts w:ascii="arial" w:eastAsia="arial" w:hAnsi="arial" w:cs="arial"/>
            <w:i/>
            <w:color w:val="0077CC"/>
            <w:sz w:val="20"/>
            <w:u w:val="single"/>
            <w:shd w:val="clear" w:color="auto" w:fill="FFFFFF"/>
            <w:lang w:val="en-US" w:eastAsia="en-US" w:bidi="ar-SA"/>
          </w:rPr>
          <w:t>Yick Wo v. Hopkins, 118 U.S. 356, 369, 6 S. Ct. 1064, 1070 (1886)</w:t>
        </w:r>
      </w:hyperlink>
      <w:r>
        <w:rPr>
          <w:rFonts w:ascii="arial" w:eastAsia="arial" w:hAnsi="arial" w:cs="arial"/>
          <w:color w:val="000000"/>
          <w:sz w:val="20"/>
          <w:lang w:val="en-US" w:eastAsia="en-US" w:bidi="ar-SA"/>
        </w:rPr>
        <w:t xml:space="preserve">. The ``disparate treatment of similarly situated aliens under the immigration laws'' implicates the guarantee of equal protection. </w:t>
      </w:r>
      <w:hyperlink r:id="rId63" w:history="1">
        <w:r>
          <w:rPr>
            <w:rFonts w:ascii="arial" w:eastAsia="arial" w:hAnsi="arial" w:cs="arial"/>
            <w:i/>
            <w:color w:val="0077CC"/>
            <w:sz w:val="20"/>
            <w:u w:val="single"/>
            <w:shd w:val="clear" w:color="auto" w:fill="FFFFFF"/>
            <w:lang w:val="en-US" w:eastAsia="en-US" w:bidi="ar-SA"/>
          </w:rPr>
          <w:t>Aguirre v. INS, 79 F.3d 315, 317 (2d Cir. 1996)</w:t>
        </w:r>
      </w:hyperlink>
      <w:r>
        <w:rPr>
          <w:rFonts w:ascii="arial" w:eastAsia="arial" w:hAnsi="arial" w:cs="arial"/>
          <w:color w:val="000000"/>
          <w:sz w:val="20"/>
          <w:lang w:val="en-US" w:eastAsia="en-US" w:bidi="ar-SA"/>
        </w:rPr>
        <w:t xml:space="preserve">. The government must therefore demonstrate a rational basis for treating aliens disparately. </w:t>
      </w:r>
      <w:hyperlink r:id="rId64" w:history="1">
        <w:r>
          <w:rPr>
            <w:rFonts w:ascii="arial" w:eastAsia="arial" w:hAnsi="arial" w:cs="arial"/>
            <w:i/>
            <w:color w:val="0077CC"/>
            <w:sz w:val="20"/>
            <w:u w:val="single"/>
            <w:shd w:val="clear" w:color="auto" w:fill="FFFFFF"/>
            <w:lang w:val="en-US" w:eastAsia="en-US" w:bidi="ar-SA"/>
          </w:rPr>
          <w:t>Reno v. Flores, 507 U.S. 292, 306, 113 S. Ct. 1439, 1449 (1993)</w:t>
        </w:r>
      </w:hyperlink>
      <w:r>
        <w:rPr>
          <w:rFonts w:ascii="arial" w:eastAsia="arial" w:hAnsi="arial" w:cs="arial"/>
          <w:color w:val="000000"/>
          <w:sz w:val="20"/>
          <w:lang w:val="en-US" w:eastAsia="en-US" w:bidi="ar-SA"/>
        </w:rPr>
        <w:t xml:space="preserve">; </w:t>
      </w:r>
      <w:hyperlink r:id="rId42" w:history="1">
        <w:r>
          <w:rPr>
            <w:rFonts w:ascii="arial" w:eastAsia="arial" w:hAnsi="arial" w:cs="arial"/>
            <w:i/>
            <w:color w:val="0077CC"/>
            <w:sz w:val="20"/>
            <w:u w:val="single"/>
            <w:shd w:val="clear" w:color="auto" w:fill="FFFFFF"/>
            <w:lang w:val="en-US" w:eastAsia="en-US" w:bidi="ar-SA"/>
          </w:rPr>
          <w:t>Cordes v. Gonzales, 421 F.3d 889 (9th Cir. 2005)</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43" w:history="1">
        <w:r>
          <w:rPr>
            <w:rFonts w:ascii="arial" w:eastAsia="arial" w:hAnsi="arial" w:cs="arial"/>
            <w:i/>
            <w:color w:val="0077CC"/>
            <w:sz w:val="20"/>
            <w:u w:val="single"/>
            <w:shd w:val="clear" w:color="auto" w:fill="FFFFFF"/>
            <w:lang w:val="en-US" w:eastAsia="en-US" w:bidi="ar-SA"/>
          </w:rPr>
          <w:t>Francis v. INS, 532 F.2d 268 (2nd Cir. 1976)</w:t>
        </w:r>
      </w:hyperlink>
      <w:r>
        <w:rPr>
          <w:rFonts w:ascii="arial" w:eastAsia="arial" w:hAnsi="arial" w:cs="arial"/>
          <w:color w:val="000000"/>
          <w:sz w:val="20"/>
          <w:lang w:val="en-US" w:eastAsia="en-US" w:bidi="ar-SA"/>
        </w:rPr>
        <w:t xml:space="preserve">, the Second Circuit addressed a similar Equal Protection claim. There, the court addressed lawful permanent residents who had certain criminal offenses. Under the statute at former </w:t>
      </w:r>
      <w:hyperlink r:id="rId25"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1182(c)</w:t>
        </w:r>
      </w:hyperlink>
      <w:r>
        <w:rPr>
          <w:rFonts w:ascii="arial" w:eastAsia="arial" w:hAnsi="arial" w:cs="arial"/>
          <w:color w:val="000000"/>
          <w:sz w:val="20"/>
          <w:lang w:val="en-US" w:eastAsia="en-US" w:bidi="ar-SA"/>
        </w:rPr>
        <w:t>, INA § 212(c) (1995), only deny parole. ST. Dec. at Exh. L. There was no opportunity to address any of these contentions, as there would have been at a hearing before an immigration judge.</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rational basis for denying release on bond, or at least a hearing before an immigration judge as to whether to grant bond, to adjustment of status applicants who traveled on advance parole while their adjustment of status applications were pending, while bond, and a bond hearing, is available to those same individuals in the same situation who did not travel. As stated earlier, an adjustment of status applicant who travels outside of the U.S. abandons his application unless he first obtains advance parole.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212.5(f)</w:t>
        </w:r>
      </w:hyperlink>
      <w:r>
        <w:rPr>
          <w:rFonts w:ascii="arial" w:eastAsia="arial" w:hAnsi="arial" w:cs="arial"/>
          <w:color w:val="000000"/>
          <w:sz w:val="20"/>
          <w:lang w:val="en-US" w:eastAsia="en-US" w:bidi="ar-SA"/>
        </w:rPr>
        <w:t xml:space="preserve">. Thus, the purpose of advance parole is to preserve the application and to provide a means of allowing the adjustment applicant to travel and return to the United States. Once an application for adjustment is denied, removal proceedings may be initiated. See </w:t>
      </w:r>
      <w:hyperlink r:id="rId84"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245.1</w:t>
        </w:r>
      </w:hyperlink>
      <w:r>
        <w:rPr>
          <w:rFonts w:ascii="arial" w:eastAsia="arial" w:hAnsi="arial" w:cs="arial"/>
          <w:color w:val="000000"/>
          <w:sz w:val="20"/>
          <w:lang w:val="en-US" w:eastAsia="en-US" w:bidi="ar-SA"/>
        </w:rPr>
        <w:t xml:space="preserve">. At that point, only those applicants who did not depart the United States are eligible for release on bond or a bond hearing. Those who traveled, like Mr. A who went to visit is ill mother, and who are otherwise the identical class of persons, are ineligible for a bond hearing and release from custody-even if they are not a danger to others or a flight risk. There is simply no rational basis for this disparate treatment. See e.g. </w:t>
      </w:r>
      <w:hyperlink r:id="rId79" w:history="1">
        <w:r>
          <w:rPr>
            <w:rFonts w:ascii="arial" w:eastAsia="arial" w:hAnsi="arial" w:cs="arial"/>
            <w:i/>
            <w:color w:val="0077CC"/>
            <w:sz w:val="20"/>
            <w:u w:val="single"/>
            <w:shd w:val="clear" w:color="auto" w:fill="FFFFFF"/>
            <w:lang w:val="en-US" w:eastAsia="en-US" w:bidi="ar-SA"/>
          </w:rPr>
          <w:t>Alaka v. Elwood, 225 F. Supp. 2d at 558–9</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3. The Regulation at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is Unconstitutional as Applied to Mr. A</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should conclude that the application of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which deprives arriving aliens of the right to a bond hearing, violates substantive due process as applied to individuals, like Mr. A, who traveled on advance parole. As discussed above, the substantive Due Process requirement of the </w:t>
      </w:r>
      <w:hyperlink r:id="rId81" w:history="1">
        <w:r>
          <w:rPr>
            <w:rFonts w:ascii="arial" w:eastAsia="arial" w:hAnsi="arial" w:cs="arial"/>
            <w:i/>
            <w:color w:val="0077CC"/>
            <w:sz w:val="20"/>
            <w:u w:val="single"/>
            <w:shd w:val="clear" w:color="auto" w:fill="FFFFFF"/>
            <w:lang w:val="en-US" w:eastAsia="en-US" w:bidi="ar-SA"/>
          </w:rPr>
          <w:t>Fifth Amendment</w:t>
        </w:r>
      </w:hyperlink>
      <w:r>
        <w:rPr>
          <w:rFonts w:ascii="arial" w:eastAsia="arial" w:hAnsi="arial" w:cs="arial"/>
          <w:color w:val="000000"/>
          <w:sz w:val="20"/>
          <w:lang w:val="en-US" w:eastAsia="en-US" w:bidi="ar-SA"/>
        </w:rPr>
        <w:t xml:space="preserve"> prohibits the government from infringing on fundamental rights unless the infringement is narrowly tailored to serve a compelling government interest or there is a special justification for continued confinement. </w:t>
      </w:r>
      <w:hyperlink r:id="rId38" w:history="1">
        <w:r>
          <w:rPr>
            <w:rFonts w:ascii="arial" w:eastAsia="arial" w:hAnsi="arial" w:cs="arial"/>
            <w:i/>
            <w:color w:val="0077CC"/>
            <w:sz w:val="20"/>
            <w:u w:val="single"/>
            <w:shd w:val="clear" w:color="auto" w:fill="FFFFFF"/>
            <w:lang w:val="en-US" w:eastAsia="en-US" w:bidi="ar-SA"/>
          </w:rPr>
          <w:t>Zadvydas v. Davis, 533 U.S. at 690, 121 S. Ct. at 2499</w:t>
        </w:r>
      </w:hyperlink>
      <w:r>
        <w:rPr>
          <w:rFonts w:ascii="arial" w:eastAsia="arial" w:hAnsi="arial" w:cs="arial"/>
          <w:color w:val="000000"/>
          <w:sz w:val="20"/>
          <w:lang w:val="en-US" w:eastAsia="en-US" w:bidi="ar-SA"/>
        </w:rPr>
        <w:t xml:space="preserve">; </w:t>
      </w:r>
      <w:hyperlink r:id="rId39" w:history="1">
        <w:r>
          <w:rPr>
            <w:rFonts w:ascii="arial" w:eastAsia="arial" w:hAnsi="arial" w:cs="arial"/>
            <w:i/>
            <w:color w:val="0077CC"/>
            <w:sz w:val="20"/>
            <w:u w:val="single"/>
            <w:shd w:val="clear" w:color="auto" w:fill="FFFFFF"/>
            <w:lang w:val="en-US" w:eastAsia="en-US" w:bidi="ar-SA"/>
          </w:rPr>
          <w:t>Zavala v. Ridge, 310 F. Supp. 2d 1071 (9th Cir. 2004)</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44" w:history="1">
        <w:r>
          <w:rPr>
            <w:rFonts w:ascii="arial" w:eastAsia="arial" w:hAnsi="arial" w:cs="arial"/>
            <w:i/>
            <w:color w:val="0077CC"/>
            <w:sz w:val="20"/>
            <w:u w:val="single"/>
            <w:shd w:val="clear" w:color="auto" w:fill="FFFFFF"/>
            <w:lang w:val="en-US" w:eastAsia="en-US" w:bidi="ar-SA"/>
          </w:rPr>
          <w:t>Demore v. Kim, 538 U.S. 510, 123 S. Ct. 1708 (2003)</w:t>
        </w:r>
      </w:hyperlink>
      <w:r>
        <w:rPr>
          <w:rFonts w:ascii="arial" w:eastAsia="arial" w:hAnsi="arial" w:cs="arial"/>
          <w:color w:val="000000"/>
          <w:sz w:val="20"/>
          <w:lang w:val="en-US" w:eastAsia="en-US" w:bidi="ar-SA"/>
        </w:rPr>
        <w:t xml:space="preserve">, the Supreme Court concluded that Congress could categorically deny release from custody to individuals who were removable for certain criminal convictions pursuant to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1226(c)</w:t>
        </w:r>
      </w:hyperlink>
      <w:r>
        <w:rPr>
          <w:rFonts w:ascii="arial" w:eastAsia="arial" w:hAnsi="arial" w:cs="arial"/>
          <w:color w:val="000000"/>
          <w:sz w:val="20"/>
          <w:lang w:val="en-US" w:eastAsia="en-US" w:bidi="ar-SA"/>
        </w:rPr>
        <w:t xml:space="preserve"> because, by definition, that class of non-citizens is a danger to others and flight risk. See </w:t>
      </w:r>
      <w:hyperlink r:id="rId44" w:history="1">
        <w:r>
          <w:rPr>
            <w:rFonts w:ascii="arial" w:eastAsia="arial" w:hAnsi="arial" w:cs="arial"/>
            <w:i/>
            <w:color w:val="0077CC"/>
            <w:sz w:val="20"/>
            <w:u w:val="single"/>
            <w:shd w:val="clear" w:color="auto" w:fill="FFFFFF"/>
            <w:lang w:val="en-US" w:eastAsia="en-US" w:bidi="ar-SA"/>
          </w:rPr>
          <w:t>Demore v. Kim, 538 U.S. at 518, 123 S. Ct. at 1715</w:t>
        </w:r>
      </w:hyperlink>
      <w:r>
        <w:rPr>
          <w:rFonts w:ascii="arial" w:eastAsia="arial" w:hAnsi="arial" w:cs="arial"/>
          <w:color w:val="000000"/>
          <w:sz w:val="20"/>
          <w:lang w:val="en-US" w:eastAsia="en-US" w:bidi="ar-SA"/>
        </w:rPr>
        <w:t xml:space="preserve"> (noting that Congress adopted </w:t>
      </w:r>
      <w:hyperlink r:id="rId2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1226(c)</w:t>
        </w:r>
      </w:hyperlink>
      <w:r>
        <w:rPr>
          <w:rFonts w:ascii="arial" w:eastAsia="arial" w:hAnsi="arial" w:cs="arial"/>
          <w:color w:val="000000"/>
          <w:sz w:val="20"/>
          <w:lang w:val="en-US" w:eastAsia="en-US" w:bidi="ar-SA"/>
        </w:rPr>
        <w:t xml:space="preserve"> because ``deportable criminal aliens who remained in the United States often committed more crimes before being removed'' and that ``more than 20% of deportable criminal aliens failed to appear for their removal hearings.''). In contrast, there is no basis to believe that individuals who travel on advance parole are flight risks or dangers to others. The reason for having advance parole is to allow adjustment applicants to take a short trip without abandoning an application for permanent residency and to be able to reenter the United States to pursue the pending adjustment application. </w:t>
      </w:r>
      <w:hyperlink r:id="rId32"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212.5(f)</w:t>
        </w:r>
      </w:hyperlink>
      <w:r>
        <w:rPr>
          <w:rFonts w:ascii="arial" w:eastAsia="arial" w:hAnsi="arial" w:cs="arial"/>
          <w:color w:val="000000"/>
          <w:sz w:val="20"/>
          <w:lang w:val="en-US" w:eastAsia="en-US" w:bidi="ar-SA"/>
        </w:rPr>
        <w:t xml:space="preserve">, </w:t>
      </w:r>
      <w:hyperlink r:id="rId33" w:history="1">
        <w:r>
          <w:rPr>
            <w:rFonts w:ascii="arial" w:eastAsia="arial" w:hAnsi="arial" w:cs="arial"/>
            <w:i/>
            <w:color w:val="0077CC"/>
            <w:sz w:val="20"/>
            <w:u w:val="single"/>
            <w:shd w:val="clear" w:color="auto" w:fill="FFFFFF"/>
            <w:lang w:val="en-US" w:eastAsia="en-US" w:bidi="ar-SA"/>
          </w:rPr>
          <w:t>245.2(a)(4)(ii)</w:t>
        </w:r>
      </w:hyperlink>
      <w:r>
        <w:rPr>
          <w:rFonts w:ascii="arial" w:eastAsia="arial" w:hAnsi="arial" w:cs="arial"/>
          <w:color w:val="000000"/>
          <w:sz w:val="20"/>
          <w:lang w:val="en-US" w:eastAsia="en-US" w:bidi="ar-SA"/>
        </w:rPr>
        <w:t>. If anything, individuals who travel on advance parole are less of a flight risk than other individuals who enter the United States who do not affirmatively present themselves to DHS, such as individuals who enter the country illegally and are apprehended by DHS officials.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latter category of individuals is entitled to a bond hearing, yet individuals who travel on advance parole are not.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Clearly the application of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to individuals who traveled on advance parole cannot meet the rationale of the Demore v. Kim decision because there is absolutely no basis to believe that these individuals are a flight risk (or a danger to others). As a result, depriving them of the substantive right to release on bond violates due process and the application of the regulation to Mr. A is unconstitutional.</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4. The Regulation at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Violates Procedural Due Process Because it Deprived Mr. A of a Full Due Process Hearing Before a Neutral Adjudicator</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Finally, the regulation at </w:t>
      </w:r>
      <w:hyperlink r:id="rId35" w:history="1">
        <w:r>
          <w:rPr>
            <w:rFonts w:ascii="arial" w:eastAsia="arial" w:hAnsi="arial" w:cs="arial"/>
            <w:color w:val="000000"/>
            <w:sz w:val="20"/>
            <w:lang w:val="en-US" w:eastAsia="en-US" w:bidi="ar-SA"/>
          </w:rPr>
          <w:t>8 C.F.R.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1003.19(h)(2)(B)</w:t>
        </w:r>
      </w:hyperlink>
      <w:r>
        <w:rPr>
          <w:rFonts w:ascii="arial" w:eastAsia="arial" w:hAnsi="arial" w:cs="arial"/>
          <w:color w:val="000000"/>
          <w:sz w:val="20"/>
          <w:lang w:val="en-US" w:eastAsia="en-US" w:bidi="ar-SA"/>
        </w:rPr>
        <w:t xml:space="preserve"> violates procedural due process because arriving aliens do not have a forum to present evidence or witnesses, or to in any way challenge the allegations or conclusions made by DHS in denying their release from custody. In addition, there is no impartial adjudicator to assess whether Mr. A should be released from custody.</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Due process requires a right to a full and fair hearing. </w:t>
      </w:r>
      <w:hyperlink r:id="rId65" w:history="1">
        <w:r>
          <w:rPr>
            <w:rFonts w:ascii="arial" w:eastAsia="arial" w:hAnsi="arial" w:cs="arial"/>
            <w:i/>
            <w:color w:val="0077CC"/>
            <w:sz w:val="20"/>
            <w:u w:val="single"/>
            <w:shd w:val="clear" w:color="auto" w:fill="FFFFFF"/>
            <w:lang w:val="en-US" w:eastAsia="en-US" w:bidi="ar-SA"/>
          </w:rPr>
          <w:t>Getachew v. INS, 25 F.3d 841, 845 (9th Cir. 1994)</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Castro-Cortez v. INS, 239 F.3d 1037, 1049 (9th Cir. 2001)</w:t>
        </w:r>
      </w:hyperlink>
      <w:r>
        <w:rPr>
          <w:rFonts w:ascii="arial" w:eastAsia="arial" w:hAnsi="arial" w:cs="arial"/>
          <w:color w:val="000000"/>
          <w:sz w:val="20"/>
          <w:lang w:val="en-US" w:eastAsia="en-US" w:bidi="ar-SA"/>
        </w:rPr>
        <w:t xml:space="preserve">; </w:t>
      </w:r>
      <w:hyperlink r:id="rId67" w:history="1">
        <w:r>
          <w:rPr>
            <w:rFonts w:ascii="arial" w:eastAsia="arial" w:hAnsi="arial" w:cs="arial"/>
            <w:i/>
            <w:color w:val="0077CC"/>
            <w:sz w:val="20"/>
            <w:u w:val="single"/>
            <w:shd w:val="clear" w:color="auto" w:fill="FFFFFF"/>
            <w:lang w:val="en-US" w:eastAsia="en-US" w:bidi="ar-SA"/>
          </w:rPr>
          <w:t>Marincas v. Lewis, 92 F.3d 195, 203 (3d Cir. 1996)</w:t>
        </w:r>
      </w:hyperlink>
      <w:r>
        <w:rPr>
          <w:rFonts w:ascii="arial" w:eastAsia="arial" w:hAnsi="arial" w:cs="arial"/>
          <w:color w:val="000000"/>
          <w:sz w:val="20"/>
          <w:lang w:val="en-US" w:eastAsia="en-US" w:bidi="ar-SA"/>
        </w:rPr>
        <w:t xml:space="preserve">. Furthermore, a neutral judge is one of the most basic due process protections. </w:t>
      </w:r>
      <w:hyperlink r:id="rId68" w:history="1">
        <w:r>
          <w:rPr>
            <w:rFonts w:ascii="arial" w:eastAsia="arial" w:hAnsi="arial" w:cs="arial"/>
            <w:i/>
            <w:color w:val="0077CC"/>
            <w:sz w:val="20"/>
            <w:u w:val="single"/>
            <w:shd w:val="clear" w:color="auto" w:fill="FFFFFF"/>
            <w:lang w:val="en-US" w:eastAsia="en-US" w:bidi="ar-SA"/>
          </w:rPr>
          <w:t>Marshall v. Jerrico, Inc., 446 U.S. 238, 243 (1980)</w:t>
        </w:r>
      </w:hyperlink>
      <w:r>
        <w:rPr>
          <w:rFonts w:ascii="arial" w:eastAsia="arial" w:hAnsi="arial" w:cs="arial"/>
          <w:color w:val="000000"/>
          <w:sz w:val="20"/>
          <w:lang w:val="en-US" w:eastAsia="en-US" w:bidi="ar-SA"/>
        </w:rPr>
        <w:t xml:space="preserve">; </w:t>
      </w:r>
      <w:hyperlink r:id="rId69" w:history="1">
        <w:r>
          <w:rPr>
            <w:rFonts w:ascii="arial" w:eastAsia="arial" w:hAnsi="arial" w:cs="arial"/>
            <w:i/>
            <w:color w:val="0077CC"/>
            <w:sz w:val="20"/>
            <w:u w:val="single"/>
            <w:shd w:val="clear" w:color="auto" w:fill="FFFFFF"/>
            <w:lang w:val="en-US" w:eastAsia="en-US" w:bidi="ar-SA"/>
          </w:rPr>
          <w:t>Reyes-Melendez v. INS, 342 F.3d 1001, 1006 (9th Cir. 2003)</w:t>
        </w:r>
      </w:hyperlink>
      <w:r>
        <w:rPr>
          <w:rFonts w:ascii="arial" w:eastAsia="arial" w:hAnsi="arial" w:cs="arial"/>
          <w:color w:val="000000"/>
          <w:sz w:val="20"/>
          <w:lang w:val="en-US" w:eastAsia="en-US" w:bidi="ar-SA"/>
        </w:rPr>
        <w:t xml:space="preserve">; </w:t>
      </w:r>
      <w:hyperlink r:id="rId70" w:history="1">
        <w:r>
          <w:rPr>
            <w:rFonts w:ascii="arial" w:eastAsia="arial" w:hAnsi="arial" w:cs="arial"/>
            <w:i/>
            <w:color w:val="0077CC"/>
            <w:sz w:val="20"/>
            <w:u w:val="single"/>
            <w:shd w:val="clear" w:color="auto" w:fill="FFFFFF"/>
            <w:lang w:val="en-US" w:eastAsia="en-US" w:bidi="ar-SA"/>
          </w:rPr>
          <w:t>Sanchez-Cruz v. INS, 255 F.3d 775, 779 (9th Cir. 2001)</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Castro-Cortez v. INS, 239 F.3d at 1049</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determination of whether government conduct violates procedural due process requires consideration of three factors: (1) the nature of the private interest affected; (2) the risk of an erroneous deprivation of the interest as a result of the procedures used and the probable value of additional or substitute safeguards; and (3) the government's interest in using its own procedures and the fiscal and administrative burdens entailed by additional or substitute safeguards. </w:t>
      </w:r>
      <w:hyperlink r:id="rId45" w:history="1">
        <w:r>
          <w:rPr>
            <w:rFonts w:ascii="arial" w:eastAsia="arial" w:hAnsi="arial" w:cs="arial"/>
            <w:i/>
            <w:color w:val="0077CC"/>
            <w:sz w:val="20"/>
            <w:u w:val="single"/>
            <w:shd w:val="clear" w:color="auto" w:fill="FFFFFF"/>
            <w:lang w:val="en-US" w:eastAsia="en-US" w:bidi="ar-SA"/>
          </w:rPr>
          <w:t>Mathews v. Eldridge, 424 U.S. 319, 334–35, 96 S. Ct. 893, 902–3 (1976)</w:t>
        </w:r>
      </w:hyperlink>
      <w:r>
        <w:rPr>
          <w:rFonts w:ascii="arial" w:eastAsia="arial" w:hAnsi="arial" w:cs="arial"/>
          <w:color w:val="000000"/>
          <w:sz w:val="20"/>
          <w:lang w:val="en-US" w:eastAsia="en-US" w:bidi="ar-SA"/>
        </w:rPr>
        <w:t>.</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First, the private interest affected is Mr. A's liberty, which is among the most fundamental and valued in our society. See § V.A; see also </w:t>
      </w:r>
      <w:hyperlink r:id="rId38" w:history="1">
        <w:r>
          <w:rPr>
            <w:rFonts w:ascii="arial" w:eastAsia="arial" w:hAnsi="arial" w:cs="arial"/>
            <w:i/>
            <w:color w:val="0077CC"/>
            <w:sz w:val="20"/>
            <w:u w:val="single"/>
            <w:shd w:val="clear" w:color="auto" w:fill="FFFFFF"/>
            <w:lang w:val="en-US" w:eastAsia="en-US" w:bidi="ar-SA"/>
          </w:rPr>
          <w:t>Zadvydas v. Davis, 533 U.S. at 690, 121 S. Ct. at 2499</w:t>
        </w:r>
      </w:hyperlink>
      <w:r>
        <w:rPr>
          <w:rFonts w:ascii="arial" w:eastAsia="arial" w:hAnsi="arial" w:cs="arial"/>
          <w:color w:val="000000"/>
          <w:sz w:val="20"/>
          <w:lang w:val="en-US" w:eastAsia="en-US" w:bidi="ar-SA"/>
        </w:rPr>
        <w:t xml:space="preserve"> (``Freedom from imprisonment-from government custody, detention, or other forms of physical restraint-lies at the heart of the liberty that Clause protects.''); </w:t>
      </w:r>
      <w:hyperlink r:id="rId85" w:history="1">
        <w:r>
          <w:rPr>
            <w:rFonts w:ascii="arial" w:eastAsia="arial" w:hAnsi="arial" w:cs="arial"/>
            <w:i/>
            <w:color w:val="0077CC"/>
            <w:sz w:val="20"/>
            <w:u w:val="single"/>
            <w:shd w:val="clear" w:color="auto" w:fill="FFFFFF"/>
            <w:lang w:val="en-US" w:eastAsia="en-US" w:bidi="ar-SA"/>
          </w:rPr>
          <w:t>Foucha v. Louisiana, 504 U.S. 71, 80, 112 S. Ct. 1780, 1785 (1992)</w:t>
        </w:r>
      </w:hyperlink>
      <w:r>
        <w:rPr>
          <w:rFonts w:ascii="arial" w:eastAsia="arial" w:hAnsi="arial" w:cs="arial"/>
          <w:color w:val="000000"/>
          <w:sz w:val="20"/>
          <w:lang w:val="en-US" w:eastAsia="en-US" w:bidi="ar-SA"/>
        </w:rPr>
        <w:t xml:space="preserve"> (``[f]reedom from bodily restraint `has always been at the core of the liberty protected by the Due Process Clause from arbitrary governmental action' ''); </w:t>
      </w:r>
      <w:hyperlink r:id="rId39" w:history="1">
        <w:r>
          <w:rPr>
            <w:rFonts w:ascii="arial" w:eastAsia="arial" w:hAnsi="arial" w:cs="arial"/>
            <w:i/>
            <w:color w:val="0077CC"/>
            <w:sz w:val="20"/>
            <w:u w:val="single"/>
            <w:shd w:val="clear" w:color="auto" w:fill="FFFFFF"/>
            <w:lang w:val="en-US" w:eastAsia="en-US" w:bidi="ar-SA"/>
          </w:rPr>
          <w:t>Zavala v. Ridge, 310 F. Supp. 2d at 1078</w:t>
        </w:r>
      </w:hyperlink>
      <w:r>
        <w:rPr>
          <w:rFonts w:ascii="arial" w:eastAsia="arial" w:hAnsi="arial" w:cs="arial"/>
          <w:color w:val="000000"/>
          <w:sz w:val="20"/>
          <w:lang w:val="en-US" w:eastAsia="en-US" w:bidi="ar-SA"/>
        </w:rPr>
        <w:t xml:space="preserve">; </w:t>
      </w:r>
      <w:hyperlink r:id="rId86" w:history="1">
        <w:r>
          <w:rPr>
            <w:rFonts w:ascii="arial" w:eastAsia="arial" w:hAnsi="arial" w:cs="arial"/>
            <w:i/>
            <w:color w:val="0077CC"/>
            <w:sz w:val="20"/>
            <w:u w:val="single"/>
            <w:shd w:val="clear" w:color="auto" w:fill="FFFFFF"/>
            <w:lang w:val="en-US" w:eastAsia="en-US" w:bidi="ar-SA"/>
          </w:rPr>
          <w:t>Ashley v. Ridge, 288 F. Supp. 2d 662, 668 (D. N. J. 2003)</w:t>
        </w:r>
      </w:hyperlink>
      <w:r>
        <w:rPr>
          <w:rFonts w:ascii="arial" w:eastAsia="arial" w:hAnsi="arial" w:cs="arial"/>
          <w:color w:val="000000"/>
          <w:sz w:val="20"/>
          <w:lang w:val="en-US" w:eastAsia="en-US" w:bidi="ar-SA"/>
        </w:rPr>
        <w:t>. Mr. A has an extremely strong liberty interest in being united with his wife and daughter. Thus, Mr. A's private interests of liberty and family unity are extremely high.</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the risk of erroneous deprivation of that interest is extremely high because there is no neutral assessment of whether Mr. A is a danger to others or a flight risk. In fact, there is no assessment under this standard at all because for arriving aliens the ``parole'' standard of 8 U.S.C. § 1882(d)(5) is applied, which is a consideration of whether compelling humanitarian factors or the significant public interest warrant release. In addition, the actual decision to detain Mr. A was made by the same individual who authorized the initiation of removal proceedings in his case. ST Dec. at Exh. G. This action violates due process itself because the same individual cannot serve in both the prosecutorial and adjudicative functions. See </w:t>
      </w:r>
      <w:hyperlink r:id="rId71" w:history="1">
        <w:r>
          <w:rPr>
            <w:rFonts w:ascii="arial" w:eastAsia="arial" w:hAnsi="arial" w:cs="arial"/>
            <w:i/>
            <w:color w:val="0077CC"/>
            <w:sz w:val="20"/>
            <w:u w:val="single"/>
            <w:shd w:val="clear" w:color="auto" w:fill="FFFFFF"/>
            <w:lang w:val="en-US" w:eastAsia="en-US" w:bidi="ar-SA"/>
          </w:rPr>
          <w:t>Marcello v. Bonds, 349 U.S. 302, 307, 75 S. Ct. 757 (1955)</w:t>
        </w:r>
      </w:hyperlink>
      <w:r>
        <w:rPr>
          <w:rFonts w:ascii="arial" w:eastAsia="arial" w:hAnsi="arial" w:cs="arial"/>
          <w:color w:val="000000"/>
          <w:sz w:val="20"/>
          <w:lang w:val="en-US" w:eastAsia="en-US" w:bidi="ar-SA"/>
        </w:rPr>
        <w:t xml:space="preserve"> (noting that the special inquiry officer adjudicating an immigration case cannot also undertake the functions of prosecutor); </w:t>
      </w:r>
      <w:hyperlink r:id="rId72" w:history="1">
        <w:r>
          <w:rPr>
            <w:rFonts w:ascii="arial" w:eastAsia="arial" w:hAnsi="arial" w:cs="arial"/>
            <w:i/>
            <w:color w:val="0077CC"/>
            <w:sz w:val="20"/>
            <w:u w:val="single"/>
            <w:shd w:val="clear" w:color="auto" w:fill="FFFFFF"/>
            <w:lang w:val="en-US" w:eastAsia="en-US" w:bidi="ar-SA"/>
          </w:rPr>
          <w:t>Morrisey v. Brewer, 408 U.S. 471, 486–7, 92 S. Ct. 2593 (1972)</w:t>
        </w:r>
      </w:hyperlink>
      <w:r>
        <w:rPr>
          <w:rFonts w:ascii="arial" w:eastAsia="arial" w:hAnsi="arial" w:cs="arial"/>
          <w:color w:val="000000"/>
          <w:sz w:val="20"/>
          <w:lang w:val="en-US" w:eastAsia="en-US" w:bidi="ar-SA"/>
        </w:rPr>
        <w:t xml:space="preserve"> (a parole officer directly involved in decisions has an inherent bias, and thus due process requires that an objective and neutral evaluator make decisions regarding parole revocation); </w:t>
      </w:r>
      <w:hyperlink r:id="rId73" w:history="1">
        <w:r>
          <w:rPr>
            <w:rFonts w:ascii="arial" w:eastAsia="arial" w:hAnsi="arial" w:cs="arial"/>
            <w:i/>
            <w:color w:val="0077CC"/>
            <w:sz w:val="20"/>
            <w:u w:val="single"/>
            <w:shd w:val="clear" w:color="auto" w:fill="FFFFFF"/>
            <w:lang w:val="en-US" w:eastAsia="en-US" w:bidi="ar-SA"/>
          </w:rPr>
          <w:t>United States v. Garcia-Martinez, 228 F.3d 956, 961 (9th Cir. 2000)</w:t>
        </w:r>
      </w:hyperlink>
      <w:r>
        <w:rPr>
          <w:rFonts w:ascii="arial" w:eastAsia="arial" w:hAnsi="arial" w:cs="arial"/>
          <w:color w:val="000000"/>
          <w:sz w:val="20"/>
          <w:lang w:val="en-US" w:eastAsia="en-US" w:bidi="ar-SA"/>
        </w:rPr>
        <w:t xml:space="preserve"> (due process is not offended in an administrative removal case pursuant to </w:t>
      </w:r>
      <w:hyperlink r:id="rId87"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1228(b)</w:t>
        </w:r>
      </w:hyperlink>
      <w:r>
        <w:rPr>
          <w:rFonts w:ascii="arial" w:eastAsia="arial" w:hAnsi="arial" w:cs="arial"/>
          <w:color w:val="000000"/>
          <w:sz w:val="20"/>
          <w:lang w:val="en-US" w:eastAsia="en-US" w:bidi="ar-SA"/>
        </w:rPr>
        <w:t xml:space="preserve"> where separate government officers act as the prosecutor and the adjudicator). There is also no forum to address the factual contentions made by DHS as to why Mr. A should not be released. For instance, the government stated in its denial of Mr. Shahwan's parole request that he was a flight risk because he changed the spelling of his name, changed his university and course of study, failed to adjust his status based on his first marriage, was charged with and convicted of falsely representing himself to be a U.S. citizen, and because he, assertedly, is not eligible for any relief. ST. Dec. at Exh. L. Mr. A had no forum to address these contentions as he would have had before an immigration judge. ST. Dec. at Exh. O. Had he had such a forum, he could have easily addressed these concerns. For instance, Mr. Shahwan was convicted of making a false statement on a passport application, </w:t>
      </w:r>
      <w:hyperlink r:id="rId36" w:history="1">
        <w:r>
          <w:rPr>
            <w:rFonts w:ascii="arial" w:eastAsia="arial" w:hAnsi="arial" w:cs="arial"/>
            <w:color w:val="000000"/>
            <w:sz w:val="20"/>
            <w:lang w:val="en-US" w:eastAsia="en-US" w:bidi="ar-SA"/>
          </w:rPr>
          <w:t>18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1542</w:t>
        </w:r>
      </w:hyperlink>
      <w:r>
        <w:rPr>
          <w:rFonts w:ascii="arial" w:eastAsia="arial" w:hAnsi="arial" w:cs="arial"/>
          <w:color w:val="000000"/>
          <w:sz w:val="20"/>
          <w:lang w:val="en-US" w:eastAsia="en-US" w:bidi="ar-SA"/>
        </w:rPr>
        <w:t>, which is not equivalent to making a false claim to U.S. citizenship.</w:t>
      </w:r>
      <w:r>
        <w:rPr>
          <w:rFonts w:ascii="arial" w:eastAsia="arial" w:hAnsi="arial" w:cs="arial"/>
          <w:sz w:val="20"/>
          <w:vertAlign w:val="superscript"/>
          <w:lang w:val="en-US" w:eastAsia="en-US" w:bidi="ar-SA"/>
        </w:rPr>
        <w:footnoteReference w:customMarkFollows="1" w:id="7"/>
        <w:t xml:space="preserve">8</w:t>
      </w:r>
      <w:r>
        <w:rPr>
          <w:rFonts w:ascii="arial" w:eastAsia="arial" w:hAnsi="arial" w:cs="arial"/>
          <w:color w:val="000000"/>
          <w:sz w:val="20"/>
          <w:lang w:val="en-US" w:eastAsia="en-US" w:bidi="ar-SA"/>
        </w:rPr>
        <w:t xml:space="preserve"> Furthermore, the conviction is not final and is subject to appeal. ST. Dec. at ¶ 9. Mr. A is also eligible for relief in the form of adjustment of status (</w:t>
      </w:r>
      <w:hyperlink r:id="rId88"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1255</w:t>
        </w:r>
      </w:hyperlink>
      <w:r>
        <w:rPr>
          <w:rFonts w:ascii="arial" w:eastAsia="arial" w:hAnsi="arial" w:cs="arial"/>
          <w:color w:val="000000"/>
          <w:sz w:val="20"/>
          <w:lang w:val="en-US" w:eastAsia="en-US" w:bidi="ar-SA"/>
        </w:rPr>
        <w:t>) upon the approval of the immediate relative visa petition submitted by his U.S. citizen wife, asylum (</w:t>
      </w:r>
      <w:hyperlink r:id="rId27"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1158</w:t>
        </w:r>
      </w:hyperlink>
      <w:r>
        <w:rPr>
          <w:rFonts w:ascii="arial" w:eastAsia="arial" w:hAnsi="arial" w:cs="arial"/>
          <w:color w:val="000000"/>
          <w:sz w:val="20"/>
          <w:lang w:val="en-US" w:eastAsia="en-US" w:bidi="ar-SA"/>
        </w:rPr>
        <w:t>), and withholding of removal (</w:t>
      </w:r>
      <w:hyperlink r:id="rId29" w:history="1">
        <w:r>
          <w:rPr>
            <w:rFonts w:ascii="arial" w:eastAsia="arial" w:hAnsi="arial" w:cs="arial"/>
            <w:color w:val="000000"/>
            <w:sz w:val="20"/>
            <w:lang w:val="en-US" w:eastAsia="en-US" w:bidi="ar-SA"/>
          </w:rPr>
          <w:t>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1231(b)(5)</w:t>
        </w:r>
      </w:hyperlink>
      <w:r>
        <w:rPr>
          <w:rFonts w:ascii="arial" w:eastAsia="arial" w:hAnsi="arial" w:cs="arial"/>
          <w:color w:val="000000"/>
          <w:sz w:val="20"/>
          <w:lang w:val="en-US" w:eastAsia="en-US" w:bidi="ar-SA"/>
        </w:rPr>
        <w:t>. Mr. A also has responses to the other allegations but was never given a forum to address them.</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Third, the burden to the government of permitting a hearing before the immigration judge pales in comparison to the irreversible effect of preventing Mr. A's release from detention. Mr. A has been isolated from his wife and daughter without any ability to have a hearing on his continued detention. Immigration judges routinely provide bond hearings to other individuals who are not arriving aliens. There is simply no meaningful burden in supplying such a hearing to Mr. A and due process requires such a hearing.</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VI. CONCLUSION</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the above reasons, the Court should order Mr. A's release from custody, or set a reasonable bond if appropriate. Alternatively, the Court should order that Mr. A be afforded a bond hearing before an immigration judge and a substantive right to release on bond if the immigration judge concludes that he is not a danger to others or a flight risk. The Court should further instruct the immigration judge to issue a reasonable bond if appropriate. </w:t>
      </w:r>
      <w:hyperlink r:id="rId47" w:history="1">
        <w:r>
          <w:rPr>
            <w:rFonts w:ascii="arial" w:eastAsia="arial" w:hAnsi="arial" w:cs="arial"/>
            <w:i/>
            <w:color w:val="0077CC"/>
            <w:sz w:val="20"/>
            <w:u w:val="single"/>
            <w:shd w:val="clear" w:color="auto" w:fill="FFFFFF"/>
            <w:lang w:val="en-US" w:eastAsia="en-US" w:bidi="ar-SA"/>
          </w:rPr>
          <w:t>Matter of Drysdale, 20 I. &amp; N. Dec. 815 (BIA 1994)</w:t>
        </w:r>
      </w:hyperlink>
      <w:r>
        <w:rPr>
          <w:rFonts w:ascii="arial" w:eastAsia="arial" w:hAnsi="arial" w:cs="arial"/>
          <w:color w:val="000000"/>
          <w:sz w:val="20"/>
          <w:lang w:val="en-US" w:eastAsia="en-US" w:bidi="ar-SA"/>
        </w:rPr>
        <w:t>.</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Dated: October 25, 2005</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Respectfully submitted,</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/s/</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 xml:space="preserve">[Name of attorneys]  </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Attorneys for Mr. A</w:t>
      </w:r>
    </w:p>
    <w:p>
      <w:pPr>
        <w:spacing w:before="12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color w:val="000000"/>
          <w:sz w:val="16"/>
          <w:lang w:val="en-US" w:eastAsia="en-US" w:bidi="ar-SA"/>
        </w:rPr>
        <w:t>Bender's Immigration Litigation Forms</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2019,  Matthew Bender &amp; Company, Inc., a member of the LexisNexis Group.</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 xml:space="preserve">As an applicant for adjustment of status to permanent residence, Mr. A was eligible to travel outside the United States and return to the United States. In doing so, his travel did not abandon his application for adjustment of status and he was legally able to return to the United States. See </w:t>
      </w:r>
      <w:hyperlink r:id="rId1" w:history="1">
        <w:r>
          <w:rPr>
            <w:rFonts w:ascii="arial" w:eastAsia="arial" w:hAnsi="arial" w:cs="arial"/>
            <w:b w:val="0"/>
            <w:i w:val="0"/>
            <w:strike w:val="0"/>
            <w:noProof w:val="0"/>
            <w:color w:val="000000"/>
            <w:position w:val="0"/>
            <w:sz w:val="18"/>
            <w:u w:val="none"/>
            <w:vertAlign w:val="baseline"/>
          </w:rPr>
          <w:t>8 C.F.R.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212.5(f)</w:t>
        </w:r>
      </w:hyperlink>
      <w:r>
        <w:rPr>
          <w:rFonts w:ascii="arial" w:eastAsia="arial" w:hAnsi="arial" w:cs="arial"/>
          <w:b w:val="0"/>
          <w:i w:val="0"/>
          <w:strike w:val="0"/>
          <w:noProof w:val="0"/>
          <w:color w:val="000000"/>
          <w:position w:val="0"/>
          <w:sz w:val="18"/>
          <w:u w:val="none"/>
          <w:vertAlign w:val="baseline"/>
        </w:rPr>
        <w:t>.</w:t>
      </w:r>
    </w:p>
  </w:footnote>
  <w:footnote w:id="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 xml:space="preserve">The INS has been abolished and has been replaced by the Department of Homeland Security. See Homeland Security Act of 2002, Pub. L. No. 107-296, § 471, 116 Stat. 2135, 2205 (codified at </w:t>
      </w:r>
      <w:hyperlink r:id="rId2" w:history="1">
        <w:r>
          <w:rPr>
            <w:rFonts w:ascii="arial" w:eastAsia="arial" w:hAnsi="arial" w:cs="arial"/>
            <w:b w:val="0"/>
            <w:i w:val="0"/>
            <w:strike w:val="0"/>
            <w:noProof w:val="0"/>
            <w:color w:val="000000"/>
            <w:position w:val="0"/>
            <w:sz w:val="18"/>
            <w:u w:val="none"/>
            <w:vertAlign w:val="baseline"/>
          </w:rPr>
          <w:t>6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291</w:t>
        </w:r>
      </w:hyperlink>
      <w:r>
        <w:rPr>
          <w:rFonts w:ascii="arial" w:eastAsia="arial" w:hAnsi="arial" w:cs="arial"/>
          <w:b w:val="0"/>
          <w:i w:val="0"/>
          <w:strike w:val="0"/>
          <w:noProof w:val="0"/>
          <w:color w:val="000000"/>
          <w:position w:val="0"/>
          <w:sz w:val="18"/>
          <w:u w:val="none"/>
          <w:vertAlign w:val="baseline"/>
        </w:rPr>
        <w:t>) (2002). Id. at Exh. E.</w:t>
      </w:r>
    </w:p>
  </w:footnote>
  <w:footnote w:id="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Mr. A was taken into custody immediately after a jury found him guilty under </w:t>
      </w:r>
      <w:hyperlink r:id="rId3" w:history="1">
        <w:r>
          <w:rPr>
            <w:rFonts w:ascii="arial" w:eastAsia="arial" w:hAnsi="arial" w:cs="arial"/>
            <w:b w:val="0"/>
            <w:i w:val="0"/>
            <w:strike w:val="0"/>
            <w:noProof w:val="0"/>
            <w:color w:val="000000"/>
            <w:position w:val="0"/>
            <w:sz w:val="18"/>
            <w:u w:val="none"/>
            <w:vertAlign w:val="baseline"/>
          </w:rPr>
          <w:t>18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1542</w:t>
        </w:r>
      </w:hyperlink>
      <w:r>
        <w:rPr>
          <w:rFonts w:ascii="arial" w:eastAsia="arial" w:hAnsi="arial" w:cs="arial"/>
          <w:b w:val="0"/>
          <w:i w:val="0"/>
          <w:strike w:val="0"/>
          <w:noProof w:val="0"/>
          <w:color w:val="000000"/>
          <w:position w:val="0"/>
          <w:sz w:val="18"/>
          <w:u w:val="none"/>
          <w:vertAlign w:val="baseline"/>
        </w:rPr>
        <w:t>, for making a false statement on a passport application. He has not yet been sentenced for that offense, and intends to appeal that decision. ST Dec. at ¶ 9. Mr. A</w:t>
      </w:r>
    </w:p>
  </w:footnote>
  <w:footnote w:id="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Mr. A has submitted country condition reports and articles demonstrating the persecution of Christians and non-Muslims in Egypt. ST Dec. at Exh. J pages 46–61. Egypt is the country that DHS has charged Mr. A of being a citizen. Id. at Exh. G. An I-130 visa petition was filed by Petitioner's wife on July 25, 2005. Id. at Exh. I. Once that is approved he is eligible for adjustment of status (permanent residency) pursuant to </w:t>
      </w:r>
      <w:hyperlink r:id="rId4" w:history="1">
        <w:r>
          <w:rPr>
            <w:rFonts w:ascii="arial" w:eastAsia="arial" w:hAnsi="arial" w:cs="arial"/>
            <w:b w:val="0"/>
            <w:i w:val="0"/>
            <w:strike w:val="0"/>
            <w:noProof w:val="0"/>
            <w:color w:val="000000"/>
            <w:position w:val="0"/>
            <w:sz w:val="18"/>
            <w:u w:val="none"/>
            <w:vertAlign w:val="baseline"/>
          </w:rPr>
          <w:t>8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1255(a)</w:t>
        </w:r>
      </w:hyperlink>
      <w:r>
        <w:rPr>
          <w:rFonts w:ascii="arial" w:eastAsia="arial" w:hAnsi="arial" w:cs="arial"/>
          <w:b w:val="0"/>
          <w:i w:val="0"/>
          <w:strike w:val="0"/>
          <w:noProof w:val="0"/>
          <w:color w:val="000000"/>
          <w:position w:val="0"/>
          <w:sz w:val="18"/>
          <w:u w:val="none"/>
          <w:vertAlign w:val="baseline"/>
        </w:rPr>
        <w:t>.</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Furthermore, the fact that Mr. A was notified that he could be placed into removal proceedings and could be inadmissible for unlawful presence (</w:t>
      </w:r>
      <w:hyperlink r:id="rId5" w:history="1">
        <w:r>
          <w:rPr>
            <w:rFonts w:ascii="arial" w:eastAsia="arial" w:hAnsi="arial" w:cs="arial"/>
            <w:b w:val="0"/>
            <w:i w:val="0"/>
            <w:strike w:val="0"/>
            <w:noProof w:val="0"/>
            <w:color w:val="000000"/>
            <w:position w:val="0"/>
            <w:sz w:val="18"/>
            <w:u w:val="none"/>
            <w:vertAlign w:val="baseline"/>
          </w:rPr>
          <w:t>8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1182(a)(2)(B)</w:t>
        </w:r>
      </w:hyperlink>
      <w:r>
        <w:rPr>
          <w:rFonts w:ascii="arial" w:eastAsia="arial" w:hAnsi="arial" w:cs="arial"/>
          <w:b w:val="0"/>
          <w:i w:val="0"/>
          <w:strike w:val="0"/>
          <w:noProof w:val="0"/>
          <w:color w:val="000000"/>
          <w:position w:val="0"/>
          <w:sz w:val="18"/>
          <w:u w:val="none"/>
          <w:vertAlign w:val="baseline"/>
        </w:rPr>
        <w:t xml:space="preserve">) further supports a conclusion that he was given inadequate notice regarding the consequences of his travel. The advance parole document (ST Dec. at Exh. B) is unquestionably incomplete in its warnings. See, e.g., </w:t>
      </w:r>
      <w:hyperlink r:id="rId6" w:history="1">
        <w:r>
          <w:rPr>
            <w:rFonts w:ascii="arial" w:eastAsia="arial" w:hAnsi="arial" w:cs="arial"/>
            <w:b w:val="0"/>
            <w:i/>
            <w:strike w:val="0"/>
            <w:noProof w:val="0"/>
            <w:color w:val="0077CC"/>
            <w:position w:val="0"/>
            <w:sz w:val="18"/>
            <w:u w:val="single"/>
            <w:shd w:val="clear" w:color="auto" w:fill="FFFFFF"/>
            <w:vertAlign w:val="baseline"/>
          </w:rPr>
          <w:t>Martinez-De Bojorquez v. Ashcroft, 365 F. 3d at 804</w:t>
        </w:r>
      </w:hyperlink>
      <w:r>
        <w:rPr>
          <w:rFonts w:ascii="arial" w:eastAsia="arial" w:hAnsi="arial" w:cs="arial"/>
          <w:b w:val="0"/>
          <w:i w:val="0"/>
          <w:strike w:val="0"/>
          <w:noProof w:val="0"/>
          <w:color w:val="000000"/>
          <w:position w:val="0"/>
          <w:sz w:val="18"/>
          <w:u w:val="none"/>
          <w:vertAlign w:val="baseline"/>
        </w:rPr>
        <w:t xml:space="preserve"> (``Martinez received a number of notifications regarding the process, but at no time was she told that her appeal would be forfeit if she went to Mexico even briefly.''). He certainly had no reason to presume that the warnings provided on the form were incomplete and he would also be ineligible for bond and a bond redetermination hearing.</w:t>
      </w:r>
    </w:p>
  </w:footnote>
  <w:footnote w:id="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Thus, he has demonstrated prejudice from the improper notice. </w:t>
      </w:r>
      <w:hyperlink r:id="rId6" w:history="1">
        <w:r>
          <w:rPr>
            <w:rFonts w:ascii="arial" w:eastAsia="arial" w:hAnsi="arial" w:cs="arial"/>
            <w:b w:val="0"/>
            <w:i/>
            <w:strike w:val="0"/>
            <w:noProof w:val="0"/>
            <w:color w:val="0077CC"/>
            <w:position w:val="0"/>
            <w:sz w:val="18"/>
            <w:u w:val="single"/>
            <w:shd w:val="clear" w:color="auto" w:fill="FFFFFF"/>
            <w:vertAlign w:val="baseline"/>
          </w:rPr>
          <w:t>Martinez-De Bojorquez v. Ashcroft, 365 F. 3d at 804</w:t>
        </w:r>
      </w:hyperlink>
      <w:r>
        <w:rPr>
          <w:rFonts w:ascii="arial" w:eastAsia="arial" w:hAnsi="arial" w:cs="arial"/>
          <w:b w:val="0"/>
          <w:i w:val="0"/>
          <w:strike w:val="0"/>
          <w:noProof w:val="0"/>
          <w:color w:val="000000"/>
          <w:position w:val="0"/>
          <w:sz w:val="18"/>
          <w:u w:val="none"/>
          <w:vertAlign w:val="baseline"/>
        </w:rPr>
        <w:t>.</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In Mr. A's case, there were many factual assertions made in the DHS' decision to those who traveled outside the United States were permitted to apply for relief from deportation, and those who did not leave the U.S. were not eligible for that relief. The court found that denying lawful permanent residents who had never left the United States § 212(c) relief violated Equal Protection because there was no rational basis for the disparate treatment.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273 (``Fundamental fairness dictates that permanent resident aliens who are in like circumstances, but for irrelevant and fortuitous factors, be treated in a like manner.''). See also </w:t>
      </w:r>
      <w:hyperlink r:id="rId7" w:history="1">
        <w:r>
          <w:rPr>
            <w:rFonts w:ascii="arial" w:eastAsia="arial" w:hAnsi="arial" w:cs="arial"/>
            <w:b w:val="0"/>
            <w:i/>
            <w:strike w:val="0"/>
            <w:noProof w:val="0"/>
            <w:color w:val="0077CC"/>
            <w:position w:val="0"/>
            <w:sz w:val="18"/>
            <w:u w:val="single"/>
            <w:shd w:val="clear" w:color="auto" w:fill="FFFFFF"/>
            <w:vertAlign w:val="baseline"/>
          </w:rPr>
          <w:t>Tapia-Acuna v. INS, 640 F.2d at 225 (9th Cir. 1981)</w:t>
        </w:r>
      </w:hyperlink>
      <w:r>
        <w:rPr>
          <w:rFonts w:ascii="arial" w:eastAsia="arial" w:hAnsi="arial" w:cs="arial"/>
          <w:b w:val="0"/>
          <w:i w:val="0"/>
          <w:strike w:val="0"/>
          <w:noProof w:val="0"/>
          <w:color w:val="000000"/>
          <w:position w:val="0"/>
          <w:sz w:val="18"/>
          <w:u w:val="none"/>
          <w:vertAlign w:val="baseline"/>
        </w:rPr>
        <w:t>.</w:t>
      </w:r>
    </w:p>
  </w:footnote>
  <w:footnote w:id="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There is a separate offense of making a false claim to U.S. citizenship and thus the elements of making a false statement on a passport application are materially different. See </w:t>
      </w:r>
      <w:hyperlink r:id="rId8" w:history="1">
        <w:r>
          <w:rPr>
            <w:rFonts w:ascii="arial" w:eastAsia="arial" w:hAnsi="arial" w:cs="arial"/>
            <w:b w:val="0"/>
            <w:i w:val="0"/>
            <w:strike w:val="0"/>
            <w:noProof w:val="0"/>
            <w:color w:val="000000"/>
            <w:position w:val="0"/>
            <w:sz w:val="18"/>
            <w:u w:val="none"/>
            <w:vertAlign w:val="baseline"/>
          </w:rPr>
          <w:t>18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911</w:t>
        </w:r>
      </w:hyperlink>
      <w:r>
        <w:rPr>
          <w:rFonts w:ascii="arial" w:eastAsia="arial" w:hAnsi="arial" w:cs="arial"/>
          <w:b w:val="0"/>
          <w:i w:val="0"/>
          <w:strike w:val="0"/>
          <w:noProof w:val="0"/>
          <w:color w:val="000000"/>
          <w:position w:val="0"/>
          <w:sz w:val="18"/>
          <w:u w:val="none"/>
          <w:vertAlign w:val="baseline"/>
        </w:rPr>
        <w:t xml:space="preserve">. In addition, even if Mr. A was found guilty of misrepresenting that he was born in the United States, which he intends to appeal, such a statement is not a false claim to U.S. citizenship. For instance, an individual born in the United States to foreign diplomats is a lawful permanent resident and not a U.S. citizen. </w:t>
      </w:r>
      <w:hyperlink r:id="rId9" w:history="1">
        <w:r>
          <w:rPr>
            <w:rFonts w:ascii="arial" w:eastAsia="arial" w:hAnsi="arial" w:cs="arial"/>
            <w:b w:val="0"/>
            <w:i w:val="0"/>
            <w:strike w:val="0"/>
            <w:noProof w:val="0"/>
            <w:color w:val="000000"/>
            <w:position w:val="0"/>
            <w:sz w:val="18"/>
            <w:u w:val="none"/>
            <w:vertAlign w:val="baseline"/>
          </w:rPr>
          <w:t>8 C.F.R.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101.3(a)</w:t>
        </w:r>
      </w:hyperlink>
      <w:r>
        <w:rPr>
          <w:rFonts w:ascii="arial" w:eastAsia="arial" w:hAnsi="arial" w:cs="arial"/>
          <w:b w:val="0"/>
          <w:i w:val="0"/>
          <w:strike w:val="0"/>
          <w:noProof w:val="0"/>
          <w:color w:val="000000"/>
          <w:position w:val="0"/>
          <w:sz w:val="18"/>
          <w:u w:val="none"/>
          <w:vertAlign w:val="baseline"/>
        </w:rPr>
        <w:t xml:space="preserve">. Thus, the claim that Mr. Shahwan was born in the United States is not per se a claim to citizenship. See e.g. </w:t>
      </w:r>
      <w:hyperlink r:id="rId10" w:history="1">
        <w:r>
          <w:rPr>
            <w:rFonts w:ascii="arial" w:eastAsia="arial" w:hAnsi="arial" w:cs="arial"/>
            <w:b w:val="0"/>
            <w:i/>
            <w:strike w:val="0"/>
            <w:noProof w:val="0"/>
            <w:color w:val="0077CC"/>
            <w:position w:val="0"/>
            <w:sz w:val="18"/>
            <w:u w:val="single"/>
            <w:shd w:val="clear" w:color="auto" w:fill="FFFFFF"/>
            <w:vertAlign w:val="baseline"/>
          </w:rPr>
          <w:t>United States v. Karaouni, 379 F.3d 1139 (9th Cir. 2004)</w:t>
        </w:r>
      </w:hyperlink>
      <w:r>
        <w:rPr>
          <w:rFonts w:ascii="arial" w:eastAsia="arial" w:hAnsi="arial" w:cs="arial"/>
          <w:b w:val="0"/>
          <w:i w:val="0"/>
          <w:strike w:val="0"/>
          <w:noProof w:val="0"/>
          <w:color w:val="000000"/>
          <w:position w:val="0"/>
          <w:sz w:val="18"/>
          <w:u w:val="none"/>
          <w:vertAlign w:val="baseline"/>
        </w:rPr>
        <w:t xml:space="preserve"> (concluding that checking the box on the I-9 employment form that an individual is a citizen or national of the U.S. is not a claim to U.S. citizenship because the person could also be claiming to be a national of the United States).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1 Bender's Immigration Litigation Forms Form 13</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multilevel"/>
    <w:tmpl w:val="0000001A"/>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B"/>
    <w:multiLevelType w:val="multilevel"/>
    <w:tmpl w:val="0000001B"/>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multilevel"/>
    <w:tmpl w:val="0000001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multilevel"/>
    <w:tmpl w:val="0000002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multilevel"/>
    <w:tmpl w:val="00000021"/>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multilevel"/>
    <w:tmpl w:val="0000002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00000024"/>
    <w:multiLevelType w:val="multilevel"/>
    <w:tmpl w:val="00000024"/>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multilevel"/>
    <w:tmpl w:val="00000027"/>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00000028"/>
    <w:multiLevelType w:val="multilevel"/>
    <w:tmpl w:val="00000028"/>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00000029"/>
    <w:multiLevelType w:val="multilevel"/>
    <w:tmpl w:val="00000029"/>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0000002A"/>
    <w:multiLevelType w:val="multilevel"/>
    <w:tmpl w:val="0000002A"/>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0000002B"/>
    <w:multiLevelType w:val="multilevel"/>
    <w:tmpl w:val="0000002B"/>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0000002C"/>
    <w:multiLevelType w:val="multilevel"/>
    <w:tmpl w:val="0000002C"/>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0000002D"/>
    <w:multiLevelType w:val="multilevel"/>
    <w:tmpl w:val="0000002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0000002E"/>
    <w:multiLevelType w:val="multilevel"/>
    <w:tmpl w:val="0000002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2F"/>
    <w:multiLevelType w:val="multilevel"/>
    <w:tmpl w:val="0000002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30"/>
    <w:multiLevelType w:val="multilevel"/>
    <w:tmpl w:val="0000003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31"/>
    <w:multiLevelType w:val="multilevel"/>
    <w:tmpl w:val="00000031"/>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32"/>
    <w:multiLevelType w:val="multilevel"/>
    <w:tmpl w:val="0000003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33"/>
    <w:multiLevelType w:val="multilevel"/>
    <w:tmpl w:val="0000003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00000034"/>
    <w:multiLevelType w:val="multilevel"/>
    <w:tmpl w:val="00000034"/>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35"/>
    <w:multiLevelType w:val="multilevel"/>
    <w:tmpl w:val="0000003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00000036"/>
    <w:multiLevelType w:val="multilevel"/>
    <w:tmpl w:val="0000003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37"/>
    <w:multiLevelType w:val="multilevel"/>
    <w:tmpl w:val="00000037"/>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00000038"/>
    <w:multiLevelType w:val="multilevel"/>
    <w:tmpl w:val="00000038"/>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00000039"/>
    <w:multiLevelType w:val="multilevel"/>
    <w:tmpl w:val="00000039"/>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0000003A"/>
    <w:multiLevelType w:val="multilevel"/>
    <w:tmpl w:val="0000003A"/>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0000003B"/>
    <w:multiLevelType w:val="multilevel"/>
    <w:tmpl w:val="0000003B"/>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0000003C"/>
    <w:multiLevelType w:val="multilevel"/>
    <w:tmpl w:val="0000003C"/>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000003D"/>
    <w:multiLevelType w:val="multilevel"/>
    <w:tmpl w:val="0000003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0000003E"/>
    <w:multiLevelType w:val="multilevel"/>
    <w:tmpl w:val="0000003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0000003F"/>
    <w:multiLevelType w:val="multilevel"/>
    <w:tmpl w:val="0000003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00000040"/>
    <w:multiLevelType w:val="multilevel"/>
    <w:tmpl w:val="0000004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00000041"/>
    <w:multiLevelType w:val="multilevel"/>
    <w:tmpl w:val="00000041"/>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0000042"/>
    <w:multiLevelType w:val="multilevel"/>
    <w:tmpl w:val="0000004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00000043"/>
    <w:multiLevelType w:val="multilevel"/>
    <w:tmpl w:val="0000004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00000044"/>
    <w:multiLevelType w:val="multilevel"/>
    <w:tmpl w:val="00000044"/>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0000045"/>
    <w:multiLevelType w:val="multilevel"/>
    <w:tmpl w:val="00000045"/>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00000046"/>
    <w:multiLevelType w:val="multilevel"/>
    <w:tmpl w:val="0000004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00000047"/>
    <w:multiLevelType w:val="multilevel"/>
    <w:tmpl w:val="00000047"/>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00000048"/>
    <w:multiLevelType w:val="multilevel"/>
    <w:tmpl w:val="0000004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0000049"/>
    <w:multiLevelType w:val="multilevel"/>
    <w:tmpl w:val="00000049"/>
    <w:lvl w:ilvl="0">
      <w:start w:val="1"/>
      <w:numFmt w:val="decimal"/>
      <w:lvlText w:val="[2]"/>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93R-V3N0-R03M-725R-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SG9-5HW2-D6RV-H0V2-00000-00&amp;context=" TargetMode="External" /><Relationship Id="rId21" Type="http://schemas.openxmlformats.org/officeDocument/2006/relationships/hyperlink" Target="https://advance.lexis.com/api/document?collection=statutes-legislation&amp;id=urn:contentItem:8SG9-5HW2-D6RV-H0G3-00000-00&amp;context=" TargetMode="External" /><Relationship Id="rId22" Type="http://schemas.openxmlformats.org/officeDocument/2006/relationships/hyperlink" Target="https://advance.lexis.com/api/document?collection=statutes-legislation&amp;id=urn:contentItem:8SG9-5HW2-D6RV-H0H5-00000-00&amp;context=" TargetMode="External" /><Relationship Id="rId23" Type="http://schemas.openxmlformats.org/officeDocument/2006/relationships/hyperlink" Target="https://advance.lexis.com/api/document?collection=statutes-legislation&amp;id=urn:contentItem:8SG9-5HW2-D6RV-H0HK-00000-00&amp;context=" TargetMode="External" /><Relationship Id="rId24" Type="http://schemas.openxmlformats.org/officeDocument/2006/relationships/hyperlink" Target="https://advance.lexis.com/api/document?collection=statutes-legislation&amp;id=urn:contentItem:8S6M-ST12-D6RV-H2M6-00000-00&amp;context=" TargetMode="External" /><Relationship Id="rId25" Type="http://schemas.openxmlformats.org/officeDocument/2006/relationships/hyperlink" Target="https://advance.lexis.com/api/document?collection=statutes-legislation&amp;id=urn:contentItem:8S6M-T0S2-D6RV-H46X-00000-00&amp;context=" TargetMode="External" /><Relationship Id="rId26" Type="http://schemas.openxmlformats.org/officeDocument/2006/relationships/hyperlink" Target="https://advance.lexis.com/api/document?collection=statutes-legislation&amp;id=urn:contentItem:8S6M-T0S2-D6RV-H46H-00000-00&amp;context=" TargetMode="External" /><Relationship Id="rId27" Type="http://schemas.openxmlformats.org/officeDocument/2006/relationships/hyperlink" Target="https://advance.lexis.com/api/document?collection=statutes-legislation&amp;id=urn:contentItem:8S6M-T0S2-D6RV-H46P-00000-00&amp;context=" TargetMode="External" /><Relationship Id="rId28" Type="http://schemas.openxmlformats.org/officeDocument/2006/relationships/hyperlink" Target="https://advance.lexis.com/api/document?collection=statutes-legislation&amp;id=urn:contentItem:8S6M-T0S2-D6RV-H481-00000-00&amp;context=" TargetMode="External" /><Relationship Id="rId29" Type="http://schemas.openxmlformats.org/officeDocument/2006/relationships/hyperlink" Target="https://advance.lexis.com/api/document?collection=statutes-legislation&amp;id=urn:contentItem:8S6M-T0S2-D6RV-H48B-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statutes-legislation&amp;id=urn:contentItem:8S6M-T0S2-D6RV-H4B1-00000-00&amp;context=" TargetMode="External" /><Relationship Id="rId31" Type="http://schemas.openxmlformats.org/officeDocument/2006/relationships/hyperlink" Target="https://advance.lexis.com/api/document?collection=administrative-codes&amp;id=urn:contentItem:5XFK-D0R1-JW09-M0WF-00000-00&amp;context=" TargetMode="External" /><Relationship Id="rId32" Type="http://schemas.openxmlformats.org/officeDocument/2006/relationships/hyperlink" Target="https://advance.lexis.com/api/document?collection=administrative-codes&amp;id=urn:contentItem:5XFK-D0R1-JW09-M06D-00000-00&amp;context=" TargetMode="External" /><Relationship Id="rId33" Type="http://schemas.openxmlformats.org/officeDocument/2006/relationships/hyperlink" Target="https://advance.lexis.com/api/document?collection=administrative-codes&amp;id=urn:contentItem:5XFK-D0R1-JW09-M01V-00000-00&amp;context=" TargetMode="External" /><Relationship Id="rId34" Type="http://schemas.openxmlformats.org/officeDocument/2006/relationships/hyperlink" Target="https://advance.lexis.com/api/document?collection=administrative-codes&amp;id=urn:contentItem:5XFK-D0P1-JW09-M51V-00000-00&amp;context=" TargetMode="External" /><Relationship Id="rId35" Type="http://schemas.openxmlformats.org/officeDocument/2006/relationships/hyperlink" Target="https://advance.lexis.com/api/document?collection=administrative-codes&amp;id=urn:contentItem:5RHV-N9D0-008G-Y01G-00000-00&amp;context=" TargetMode="External" /><Relationship Id="rId36" Type="http://schemas.openxmlformats.org/officeDocument/2006/relationships/hyperlink" Target="https://advance.lexis.com/api/document?collection=statutes-legislation&amp;id=urn:contentItem:8SG9-5042-D6RV-H0GG-00000-00&amp;context=" TargetMode="External" /><Relationship Id="rId37" Type="http://schemas.openxmlformats.org/officeDocument/2006/relationships/hyperlink" Target="https://advance.lexis.com/api/document?collection=statutes-legislation&amp;id=urn:contentItem:8SG9-5042-D6RV-H150-00000-00&amp;context=" TargetMode="External" /><Relationship Id="rId38" Type="http://schemas.openxmlformats.org/officeDocument/2006/relationships/hyperlink" Target="https://advance.lexis.com/api/document?collection=cases&amp;id=urn:contentItem:43CJ-1W20-004C-2013-00000-00&amp;context=" TargetMode="External" /><Relationship Id="rId39" Type="http://schemas.openxmlformats.org/officeDocument/2006/relationships/hyperlink" Target="https://advance.lexis.com/api/document?collection=cases&amp;id=urn:contentItem:4BWW-6MD0-0038-Y1G9-00000-00&amp;context=" TargetMode="External" /><Relationship Id="rId4" Type="http://schemas.openxmlformats.org/officeDocument/2006/relationships/fontTable" Target="fontTable.xml" /><Relationship Id="rId40" Type="http://schemas.openxmlformats.org/officeDocument/2006/relationships/hyperlink" Target="https://advance.lexis.com/api/document?collection=cases&amp;id=urn:contentItem:3S4X-G5D0-001T-D1C4-00000-00&amp;context=" TargetMode="External" /><Relationship Id="rId41" Type="http://schemas.openxmlformats.org/officeDocument/2006/relationships/hyperlink" Target="https://advance.lexis.com/api/document?collection=cases&amp;id=urn:contentItem:4C71-Y9P0-0038-X3TJ-00000-00&amp;context=" TargetMode="External" /><Relationship Id="rId42" Type="http://schemas.openxmlformats.org/officeDocument/2006/relationships/hyperlink" Target="https://advance.lexis.com/api/document?collection=cases&amp;id=urn:contentItem:4GY9-P750-0038-X30C-00000-00&amp;context=" TargetMode="External" /><Relationship Id="rId43" Type="http://schemas.openxmlformats.org/officeDocument/2006/relationships/hyperlink" Target="https://advance.lexis.com/api/document?collection=cases&amp;id=urn:contentItem:3S4X-25S0-0039-M0YJ-00000-00&amp;context=" TargetMode="External" /><Relationship Id="rId44" Type="http://schemas.openxmlformats.org/officeDocument/2006/relationships/hyperlink" Target="https://advance.lexis.com/api/document?collection=cases&amp;id=urn:contentItem:48GD-GH80-004C-0012-00000-00&amp;context=" TargetMode="External" /><Relationship Id="rId45" Type="http://schemas.openxmlformats.org/officeDocument/2006/relationships/hyperlink" Target="https://advance.lexis.com/api/document?collection=cases&amp;id=urn:contentItem:3S4X-B1W0-003B-S400-00000-00&amp;context=" TargetMode="External" /><Relationship Id="rId46" Type="http://schemas.openxmlformats.org/officeDocument/2006/relationships/hyperlink" Target="https://advance.lexis.com/api/document?collection=administrative-materials&amp;id=urn:contentItem:3SGP-JPY0-0039-B127-00000-00&amp;context=" TargetMode="External" /><Relationship Id="rId47" Type="http://schemas.openxmlformats.org/officeDocument/2006/relationships/hyperlink" Target="https://advance.lexis.com/api/document?collection=administrative-materials&amp;id=urn:contentItem:3SGP-JNR0-0039-B047-00000-00&amp;context=" TargetMode="External" /><Relationship Id="rId48" Type="http://schemas.openxmlformats.org/officeDocument/2006/relationships/hyperlink" Target="https://advance.lexis.com/api/document?collection=administrative-materials&amp;id=urn:contentItem:3SGP-JNM0-0039-B02V-00000-00&amp;context=" TargetMode="External" /><Relationship Id="rId49" Type="http://schemas.openxmlformats.org/officeDocument/2006/relationships/hyperlink" Target="https://advance.lexis.com/api/document?collection=administrative-materials&amp;id=urn:contentItem:3SGP-JTS0-0039-B3RH-00000-00&amp;context=" TargetMode="External" /><Relationship Id="rId5" Type="http://schemas.openxmlformats.org/officeDocument/2006/relationships/image" Target="media/image1.png" /><Relationship Id="rId50" Type="http://schemas.openxmlformats.org/officeDocument/2006/relationships/hyperlink" Target="https://advance.lexis.com/api/document?collection=cases&amp;id=urn:contentItem:4F7G-7080-004C-000M-00000-00&amp;context=" TargetMode="External" /><Relationship Id="rId51" Type="http://schemas.openxmlformats.org/officeDocument/2006/relationships/hyperlink" Target="https://advance.lexis.com/api/document?collection=cases&amp;id=urn:contentItem:4CPP-32X0-0038-X477-00000-00&amp;context=" TargetMode="External" /><Relationship Id="rId52" Type="http://schemas.openxmlformats.org/officeDocument/2006/relationships/hyperlink" Target="https://advance.lexis.com/api/document?collection=cases&amp;id=urn:contentItem:3S4X-B1Y0-0039-N4D2-00000-00&amp;context=" TargetMode="External" /><Relationship Id="rId53" Type="http://schemas.openxmlformats.org/officeDocument/2006/relationships/hyperlink" Target="https://advance.lexis.com/api/document?collection=cases&amp;id=urn:contentItem:4GCY-T7J0-0038-X2HW-00000-00&amp;context=" TargetMode="External" /><Relationship Id="rId54" Type="http://schemas.openxmlformats.org/officeDocument/2006/relationships/hyperlink" Target="https://advance.lexis.com/api/document?collection=cases&amp;id=urn:contentItem:3S4X-2BV0-006F-M1KN-00000-00&amp;context=" TargetMode="External" /><Relationship Id="rId55" Type="http://schemas.openxmlformats.org/officeDocument/2006/relationships/hyperlink" Target="https://advance.lexis.com/api/document?collection=cases&amp;id=urn:contentItem:4H76-M2K0-0038-X03W-00000-00&amp;context=" TargetMode="External" /><Relationship Id="rId56" Type="http://schemas.openxmlformats.org/officeDocument/2006/relationships/hyperlink" Target="https://advance.lexis.com/api/document?collection=administrative-materials&amp;id=urn:contentItem:3SHR-GFH0-0039-B4J0-00000-00&amp;context=" TargetMode="External" /><Relationship Id="rId57" Type="http://schemas.openxmlformats.org/officeDocument/2006/relationships/hyperlink" Target="https://advance.lexis.com/api/document?collection=cases&amp;id=urn:contentItem:3S4X-9WP0-003B-S2J3-00000-00&amp;context=" TargetMode="External" /><Relationship Id="rId58" Type="http://schemas.openxmlformats.org/officeDocument/2006/relationships/hyperlink" Target="https://advance.lexis.com/api/document?collection=cases&amp;id=urn:contentItem:3S4X-9JC0-008H-V48K-00000-00&amp;context=" TargetMode="External" /><Relationship Id="rId59" Type="http://schemas.openxmlformats.org/officeDocument/2006/relationships/hyperlink" Target="https://advance.lexis.com/api/document?collection=cases&amp;id=urn:contentItem:3S4X-JN40-003B-S08N-00000-00&amp;context=" TargetMode="External" /><Relationship Id="rId6" Type="http://schemas.openxmlformats.org/officeDocument/2006/relationships/hyperlink" Target="https://advance.lexis.com/api/document?id=urn:contentItem:593R-V3N0-R03M-725R-00000-00&amp;idtype=PID&amp;context=1000516" TargetMode="External" /><Relationship Id="rId60" Type="http://schemas.openxmlformats.org/officeDocument/2006/relationships/hyperlink" Target="https://advance.lexis.com/api/document?collection=cases&amp;id=urn:contentItem:45NT-5NX0-0038-X0MW-00000-00&amp;context=" TargetMode="External" /><Relationship Id="rId61" Type="http://schemas.openxmlformats.org/officeDocument/2006/relationships/hyperlink" Target="https://advance.lexis.com/api/document?collection=cases&amp;id=urn:contentItem:3SR9-89T0-0038-X2T0-00000-00&amp;context=" TargetMode="External" /><Relationship Id="rId62" Type="http://schemas.openxmlformats.org/officeDocument/2006/relationships/hyperlink" Target="https://advance.lexis.com/api/document?collection=cases&amp;id=urn:contentItem:3S4X-HCC0-003B-H284-00000-00&amp;context=" TargetMode="External" /><Relationship Id="rId63" Type="http://schemas.openxmlformats.org/officeDocument/2006/relationships/hyperlink" Target="https://advance.lexis.com/api/document?collection=cases&amp;id=urn:contentItem:3S4X-2XM0-006F-M3D2-00000-00&amp;context=" TargetMode="External" /><Relationship Id="rId64" Type="http://schemas.openxmlformats.org/officeDocument/2006/relationships/hyperlink" Target="https://advance.lexis.com/api/document?collection=cases&amp;id=urn:contentItem:3S70-NFF0-003B-R512-00000-00&amp;context=" TargetMode="External" /><Relationship Id="rId65" Type="http://schemas.openxmlformats.org/officeDocument/2006/relationships/hyperlink" Target="https://advance.lexis.com/api/document?collection=cases&amp;id=urn:contentItem:3S4X-5MF0-003B-P1W4-00000-00&amp;context=" TargetMode="External" /><Relationship Id="rId66" Type="http://schemas.openxmlformats.org/officeDocument/2006/relationships/hyperlink" Target="https://advance.lexis.com/api/document?collection=cases&amp;id=urn:contentItem:426H-GRT0-0038-X0B0-00000-00&amp;context=" TargetMode="External" /><Relationship Id="rId67" Type="http://schemas.openxmlformats.org/officeDocument/2006/relationships/hyperlink" Target="https://advance.lexis.com/api/document?collection=cases&amp;id=urn:contentItem:3S4X-1CV0-006F-M0HN-00000-00&amp;context=" TargetMode="External" /><Relationship Id="rId68" Type="http://schemas.openxmlformats.org/officeDocument/2006/relationships/hyperlink" Target="https://advance.lexis.com/api/document?collection=cases&amp;id=urn:contentItem:3S4X-7BS0-003B-S243-00000-00&amp;context=" TargetMode="External" /><Relationship Id="rId69" Type="http://schemas.openxmlformats.org/officeDocument/2006/relationships/hyperlink" Target="https://advance.lexis.com/api/document?collection=cases&amp;id=urn:contentItem:49FX-VXS0-0038-X14C-00000-00&amp;context=" TargetMode="External" /><Relationship Id="rId7" Type="http://schemas.openxmlformats.org/officeDocument/2006/relationships/header" Target="header1.xml" /><Relationship Id="rId70" Type="http://schemas.openxmlformats.org/officeDocument/2006/relationships/hyperlink" Target="https://advance.lexis.com/api/document?collection=cases&amp;id=urn:contentItem:43C4-JK20-0038-X4K9-00000-00&amp;context=" TargetMode="External" /><Relationship Id="rId71" Type="http://schemas.openxmlformats.org/officeDocument/2006/relationships/hyperlink" Target="https://advance.lexis.com/api/document?collection=cases&amp;id=urn:contentItem:3S4X-JBC0-003B-S1T6-00000-00&amp;context=" TargetMode="External" /><Relationship Id="rId72" Type="http://schemas.openxmlformats.org/officeDocument/2006/relationships/hyperlink" Target="https://advance.lexis.com/api/document?collection=cases&amp;id=urn:contentItem:3S4X-D510-003B-S236-00000-00&amp;context=" TargetMode="External" /><Relationship Id="rId73" Type="http://schemas.openxmlformats.org/officeDocument/2006/relationships/hyperlink" Target="https://advance.lexis.com/api/document?collection=cases&amp;id=urn:contentItem:41BD-VTY0-0038-X2XJ-00000-00&amp;context=" TargetMode="External" /><Relationship Id="rId74" Type="http://schemas.openxmlformats.org/officeDocument/2006/relationships/hyperlink" Target="https://advance.lexis.com/api/document?collection=cases&amp;id=urn:contentItem:4D5G-BJG0-0038-X4YC-00000-00&amp;context=" TargetMode="External" /><Relationship Id="rId75" Type="http://schemas.openxmlformats.org/officeDocument/2006/relationships/hyperlink" Target="https://advance.lexis.com/api/document?collection=analytical-materials&amp;id=urn:contentItem:51R1-6BT0-R03M-Y250-00000-00&amp;context=" TargetMode="External" /><Relationship Id="rId76" Type="http://schemas.openxmlformats.org/officeDocument/2006/relationships/hyperlink" Target="https://advance.lexis.com/api/document?collection=analytical-materials&amp;id=urn:contentItem:5KCB-F4H0-R03N-P215-00000-00&amp;context=" TargetMode="External" /><Relationship Id="rId77" Type="http://schemas.openxmlformats.org/officeDocument/2006/relationships/hyperlink" Target="https://advance.lexis.com/api/document?collection=analytical-materials&amp;id=urn:contentItem:52C9-FYS0-R03K-646N-00000-00&amp;context=" TargetMode="External" /><Relationship Id="rId78" Type="http://schemas.openxmlformats.org/officeDocument/2006/relationships/hyperlink" Target="https://advance.lexis.com/api/document?collection=administrative-codes&amp;id=urn:contentItem:5XFK-D0R1-JW09-M0G3-00000-00&amp;context=" TargetMode="External" /><Relationship Id="rId79" Type="http://schemas.openxmlformats.org/officeDocument/2006/relationships/hyperlink" Target="https://advance.lexis.com/api/document?collection=cases&amp;id=urn:contentItem:4707-8NK0-0038-Y05R-00000-00&amp;context=" TargetMode="External" /><Relationship Id="rId8" Type="http://schemas.openxmlformats.org/officeDocument/2006/relationships/header" Target="header2.xml" /><Relationship Id="rId80" Type="http://schemas.openxmlformats.org/officeDocument/2006/relationships/hyperlink" Target="https://advance.lexis.com/api/document?collection=statutes-legislation&amp;id=urn:contentItem:8S6M-T0S2-D6RV-H491-00000-00&amp;context=" TargetMode="External" /><Relationship Id="rId81" Type="http://schemas.openxmlformats.org/officeDocument/2006/relationships/hyperlink" Target="https://advance.lexis.com/api/document?collection=statutes-legislation&amp;id=urn:contentItem:8T9R-T3X2-8T6X-731X-00000-00&amp;context=" TargetMode="External" /><Relationship Id="rId82" Type="http://schemas.openxmlformats.org/officeDocument/2006/relationships/hyperlink" Target="https://advance.lexis.com/api/document?collection=statutes-legislation&amp;id=urn:contentItem:8T9R-T4F2-D6RV-H37N-00000-00&amp;context=" TargetMode="External" /><Relationship Id="rId83" Type="http://schemas.openxmlformats.org/officeDocument/2006/relationships/hyperlink" Target="https://advance.lexis.com/api/document?collection=statutes-legislation&amp;id=urn:contentItem:8T9R-T5M2-D6RV-H38C-00000-00&amp;context=" TargetMode="External" /><Relationship Id="rId84" Type="http://schemas.openxmlformats.org/officeDocument/2006/relationships/hyperlink" Target="https://advance.lexis.com/api/document?collection=administrative-codes&amp;id=urn:contentItem:5XFK-D0R1-JW09-M01C-00000-00&amp;context=" TargetMode="External" /><Relationship Id="rId85" Type="http://schemas.openxmlformats.org/officeDocument/2006/relationships/hyperlink" Target="https://advance.lexis.com/api/document?collection=cases&amp;id=urn:contentItem:3S4W-XDY0-003B-R3RF-00000-00&amp;context=" TargetMode="External" /><Relationship Id="rId86" Type="http://schemas.openxmlformats.org/officeDocument/2006/relationships/hyperlink" Target="https://advance.lexis.com/api/document?collection=cases&amp;id=urn:contentItem:49WX-YK40-0038-Y4SR-00000-00&amp;context=" TargetMode="External" /><Relationship Id="rId87" Type="http://schemas.openxmlformats.org/officeDocument/2006/relationships/hyperlink" Target="https://advance.lexis.com/api/document?collection=statutes-legislation&amp;id=urn:contentItem:8S6M-T0S2-D6RV-H484-00000-00&amp;context=" TargetMode="External" /><Relationship Id="rId88" Type="http://schemas.openxmlformats.org/officeDocument/2006/relationships/hyperlink" Target="https://advance.lexis.com/api/document?collection=statutes-legislation&amp;id=urn:contentItem:8S6M-T0S2-D6RV-H48T-00000-00&amp;context=" TargetMode="External" /><Relationship Id="rId89" Type="http://schemas.openxmlformats.org/officeDocument/2006/relationships/numbering" Target="numbering.xml" /><Relationship Id="rId9" Type="http://schemas.openxmlformats.org/officeDocument/2006/relationships/footer" Target="footer1.xml" /><Relationship Id="rId90" Type="http://schemas.openxmlformats.org/officeDocument/2006/relationships/styles" Target="styles.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administrative-codes&amp;id=urn:contentItem:5XFK-D0R1-JW09-M06D-00000-00&amp;context=" TargetMode="External" /><Relationship Id="rId10" Type="http://schemas.openxmlformats.org/officeDocument/2006/relationships/hyperlink" Target="https://advance.lexis.com/api/document?collection=cases&amp;id=urn:contentItem:4D5G-BJG0-0038-X4YC-00000-00&amp;context=" TargetMode="External" /><Relationship Id="rId2" Type="http://schemas.openxmlformats.org/officeDocument/2006/relationships/hyperlink" Target="https://advance.lexis.com/api/document?collection=statutes-legislation&amp;id=urn:contentItem:8S6M-ST12-D6RV-H2M6-00000-00&amp;context=" TargetMode="External" /><Relationship Id="rId3" Type="http://schemas.openxmlformats.org/officeDocument/2006/relationships/hyperlink" Target="https://advance.lexis.com/api/document?collection=statutes-legislation&amp;id=urn:contentItem:8SG9-5042-D6RV-H0GG-00000-00&amp;context=" TargetMode="External" /><Relationship Id="rId4" Type="http://schemas.openxmlformats.org/officeDocument/2006/relationships/hyperlink" Target="https://advance.lexis.com/api/document?collection=statutes-legislation&amp;id=urn:contentItem:8S6M-T0S2-D6RV-H48T-00000-00&amp;context=" TargetMode="External" /><Relationship Id="rId5" Type="http://schemas.openxmlformats.org/officeDocument/2006/relationships/hyperlink" Target="https://advance.lexis.com/api/document?collection=statutes-legislation&amp;id=urn:contentItem:8S6M-T0S2-D6RV-H46X-00000-00&amp;context=" TargetMode="External" /><Relationship Id="rId6" Type="http://schemas.openxmlformats.org/officeDocument/2006/relationships/hyperlink" Target="https://advance.lexis.com/api/document?collection=cases&amp;id=urn:contentItem:4C71-Y9P0-0038-X3TJ-00000-00&amp;context=" TargetMode="External" /><Relationship Id="rId7" Type="http://schemas.openxmlformats.org/officeDocument/2006/relationships/hyperlink" Target="https://advance.lexis.com/api/document?collection=cases&amp;id=urn:contentItem:3S4X-5670-0039-W1HD-00000-00&amp;context=" TargetMode="External" /><Relationship Id="rId8" Type="http://schemas.openxmlformats.org/officeDocument/2006/relationships/hyperlink" Target="https://advance.lexis.com/api/document?collection=statutes-legislation&amp;id=urn:contentItem:8SG9-5042-D6RV-H05H-00000-00&amp;context=" TargetMode="External" /><Relationship Id="rId9" Type="http://schemas.openxmlformats.org/officeDocument/2006/relationships/hyperlink" Target="https://advance.lexis.com/api/document?collection=administrative-codes&amp;id=urn:contentItem:5XFK-D0R1-JW09-M02N-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Bender's Immigration Litigation Forms Form 13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104937893</vt:lpwstr>
  </property>
  <property fmtid="{D5CDD505-2E9C-101B-9397-08002B2CF9AE}" pid="3" name="LADocCount">
    <vt:i4>2</vt:i4>
  </property>
  <property fmtid="{D5CDD505-2E9C-101B-9397-08002B2CF9AE}" pid="4" name="UserPermID">
    <vt:lpwstr>urn:user:PA187830213</vt:lpwstr>
  </property>
</Properties>
</file>